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08E7" w14:textId="2299EFCE" w:rsidR="00856C9F" w:rsidRPr="000A32F5" w:rsidRDefault="000E2CF5" w:rsidP="00856C9F">
      <w:pPr>
        <w:jc w:val="center"/>
        <w:rPr>
          <w:b/>
          <w:bCs/>
          <w:sz w:val="28"/>
          <w:szCs w:val="28"/>
        </w:rPr>
      </w:pPr>
      <w:r w:rsidRPr="000E2CF5">
        <w:rPr>
          <w:b/>
          <w:bCs/>
        </w:rPr>
        <w:br/>
      </w:r>
      <w:r w:rsidR="00856C9F" w:rsidRPr="000A32F5">
        <w:rPr>
          <w:b/>
          <w:bCs/>
          <w:sz w:val="28"/>
          <w:szCs w:val="28"/>
        </w:rPr>
        <w:t xml:space="preserve">CEEC </w:t>
      </w:r>
      <w:proofErr w:type="spellStart"/>
      <w:r w:rsidR="00856C9F" w:rsidRPr="000A32F5">
        <w:rPr>
          <w:b/>
          <w:bCs/>
          <w:sz w:val="28"/>
          <w:szCs w:val="28"/>
        </w:rPr>
        <w:t>Research</w:t>
      </w:r>
      <w:proofErr w:type="spellEnd"/>
      <w:r w:rsidR="00856C9F" w:rsidRPr="000A32F5">
        <w:rPr>
          <w:b/>
          <w:bCs/>
          <w:sz w:val="28"/>
          <w:szCs w:val="28"/>
        </w:rPr>
        <w:t xml:space="preserve">: </w:t>
      </w:r>
      <w:r w:rsidR="004659ED" w:rsidRPr="004659ED">
        <w:rPr>
          <w:b/>
          <w:bCs/>
          <w:sz w:val="28"/>
          <w:szCs w:val="28"/>
        </w:rPr>
        <w:t xml:space="preserve">Kvůli digitalizaci stavebního řízení zaznamenala </w:t>
      </w:r>
      <w:r w:rsidR="00CC1205">
        <w:rPr>
          <w:b/>
          <w:bCs/>
          <w:sz w:val="28"/>
          <w:szCs w:val="28"/>
        </w:rPr>
        <w:t>více než třetina</w:t>
      </w:r>
      <w:r w:rsidR="004659ED" w:rsidRPr="004659ED">
        <w:rPr>
          <w:b/>
          <w:bCs/>
          <w:sz w:val="28"/>
          <w:szCs w:val="28"/>
        </w:rPr>
        <w:t xml:space="preserve"> stavebních firem pokles tržeb i zakázek</w:t>
      </w:r>
    </w:p>
    <w:p w14:paraId="0A996515" w14:textId="13197E56" w:rsidR="004659ED" w:rsidRDefault="004659ED" w:rsidP="00856C9F">
      <w:pPr>
        <w:jc w:val="both"/>
        <w:rPr>
          <w:b/>
          <w:bCs/>
        </w:rPr>
      </w:pPr>
      <w:r w:rsidRPr="004659ED">
        <w:rPr>
          <w:b/>
          <w:bCs/>
        </w:rPr>
        <w:t xml:space="preserve">Nepovedený start digitalizace stavebního řízení má konkrétní negativní dopady na celý stavební sektor. Podle aktuální kvartální analýzy CEEC </w:t>
      </w:r>
      <w:proofErr w:type="spellStart"/>
      <w:r w:rsidRPr="004659ED">
        <w:rPr>
          <w:b/>
          <w:bCs/>
        </w:rPr>
        <w:t>Research</w:t>
      </w:r>
      <w:proofErr w:type="spellEnd"/>
      <w:r w:rsidRPr="004659ED">
        <w:rPr>
          <w:b/>
          <w:bCs/>
        </w:rPr>
        <w:t xml:space="preserve"> zaznamenalo 36 % stavebních firem pokles tržeb a 38 % pokles objemu zakázek. Průzkumu, který probíhal v únoru a březnu letošního roku, se zúčastnilo 128 stavebních společností</w:t>
      </w:r>
      <w:r w:rsidR="00856C9F" w:rsidRPr="00A038EB">
        <w:rPr>
          <w:b/>
          <w:bCs/>
        </w:rPr>
        <w:t>.</w:t>
      </w:r>
      <w:r w:rsidR="00A765EA">
        <w:rPr>
          <w:b/>
          <w:bCs/>
        </w:rPr>
        <w:t xml:space="preserve"> Čísla byla poprvé zveřejněna na konferenci Setkání lídrů developmentu 2025. </w:t>
      </w:r>
    </w:p>
    <w:p w14:paraId="6D9875DC" w14:textId="12E71578" w:rsidR="00856C9F" w:rsidRPr="00A038EB" w:rsidRDefault="00856C9F" w:rsidP="00856C9F">
      <w:pPr>
        <w:jc w:val="both"/>
        <w:rPr>
          <w:b/>
          <w:bCs/>
        </w:rPr>
      </w:pPr>
      <w:r w:rsidRPr="00A038EB">
        <w:rPr>
          <w:b/>
          <w:bCs/>
        </w:rPr>
        <w:t>„</w:t>
      </w:r>
      <w:r w:rsidRPr="00A038EB">
        <w:rPr>
          <w:b/>
          <w:bCs/>
          <w:i/>
          <w:iCs/>
        </w:rPr>
        <w:t>Nedostatečná provázanost digitálních platforem a pomalá adaptace legislativy způsobily chaos</w:t>
      </w:r>
      <w:r w:rsidR="004659ED">
        <w:rPr>
          <w:b/>
          <w:bCs/>
          <w:i/>
          <w:iCs/>
        </w:rPr>
        <w:t xml:space="preserve">. </w:t>
      </w:r>
      <w:r w:rsidR="004659ED" w:rsidRPr="004659ED">
        <w:rPr>
          <w:b/>
          <w:bCs/>
          <w:i/>
          <w:iCs/>
        </w:rPr>
        <w:t>To zkomplikovalo práci nejen úředníkům, ale i investorům a samotným stavebním firmám.</w:t>
      </w:r>
      <w:r w:rsidRPr="00A038EB">
        <w:rPr>
          <w:b/>
          <w:bCs/>
          <w:i/>
          <w:iCs/>
        </w:rPr>
        <w:t xml:space="preserve"> Pokud nedojde k urychlené nápravě, harmonizaci systémů a důslednému proškolení pracovníků, může digitalizace místo očekávané modernizace dál zpomalovat rozvoj stavebnictví,“ </w:t>
      </w:r>
      <w:r w:rsidR="00E74645">
        <w:rPr>
          <w:b/>
          <w:bCs/>
        </w:rPr>
        <w:t>uvedl</w:t>
      </w:r>
      <w:r w:rsidRPr="00A038EB">
        <w:rPr>
          <w:b/>
          <w:bCs/>
        </w:rPr>
        <w:t xml:space="preserve"> Michal Vacek, ředitel CEEC </w:t>
      </w:r>
      <w:proofErr w:type="spellStart"/>
      <w:r w:rsidRPr="00A038EB">
        <w:rPr>
          <w:b/>
          <w:bCs/>
        </w:rPr>
        <w:t>Research</w:t>
      </w:r>
      <w:proofErr w:type="spellEnd"/>
      <w:r w:rsidRPr="00A038EB">
        <w:rPr>
          <w:b/>
          <w:bCs/>
        </w:rPr>
        <w:t xml:space="preserve">. </w:t>
      </w:r>
    </w:p>
    <w:p w14:paraId="0CEE6100" w14:textId="136A694A" w:rsidR="00856C9F" w:rsidRPr="004659ED" w:rsidRDefault="004659ED" w:rsidP="00856C9F">
      <w:pPr>
        <w:jc w:val="both"/>
      </w:pPr>
      <w:r w:rsidRPr="004659ED">
        <w:t xml:space="preserve">Systém digitálního stavebního řízení (DSŘ) byl spuštěn 1. července 2024. Místo zjednodušení přinesl zejména technické a administrativní komplikace. </w:t>
      </w:r>
      <w:r w:rsidRPr="00663C57">
        <w:rPr>
          <w:b/>
          <w:bCs/>
        </w:rPr>
        <w:t>Zatímco dvě třetiny stavebních firem (64 %) dopady nepocítily, zbylým 36 % poklesly tržby.</w:t>
      </w:r>
      <w:r w:rsidRPr="004659ED">
        <w:t xml:space="preserve"> </w:t>
      </w:r>
      <w:r w:rsidR="00856C9F" w:rsidRPr="004659ED">
        <w:rPr>
          <w:b/>
          <w:bCs/>
        </w:rPr>
        <w:t>A to v průměru o 18 %.</w:t>
      </w:r>
      <w:r w:rsidR="00856C9F" w:rsidRPr="004659ED">
        <w:t xml:space="preserve"> „</w:t>
      </w:r>
      <w:r w:rsidR="002C24E1" w:rsidRPr="002C24E1">
        <w:rPr>
          <w:i/>
          <w:iCs/>
        </w:rPr>
        <w:t>Do průzkumu se zapojily velké, střední i menší společnosti. Z těchto dat lze odvodit, že hrozí značné ztráty napříč stavebním sektorem, který si za poslední léta prošel sám o sobě těžkým obdobím</w:t>
      </w:r>
      <w:r w:rsidR="00856C9F" w:rsidRPr="004659ED">
        <w:rPr>
          <w:i/>
          <w:iCs/>
        </w:rPr>
        <w:t xml:space="preserve">,“ </w:t>
      </w:r>
      <w:r w:rsidR="00856C9F" w:rsidRPr="004659ED">
        <w:t>dodal Michal Vacek</w:t>
      </w:r>
      <w:r w:rsidR="00E74645">
        <w:t xml:space="preserve">. </w:t>
      </w:r>
    </w:p>
    <w:p w14:paraId="300BFC04" w14:textId="7455F1E7" w:rsidR="00856C9F" w:rsidRDefault="00856C9F" w:rsidP="00856C9F">
      <w:pPr>
        <w:jc w:val="both"/>
      </w:pPr>
      <w:r>
        <w:t xml:space="preserve">Hlavní problémy souvisely s technickými nedostatky systému, administrativními komplikacemi nebo zpomalením schvalovacích procesů, což vedlo k opoždění stavebních projektů a snížení příjmů dotčených firem. Ty musely projekty neustále odkládat a kvůli tomu se jim snížil objem zakázek, což </w:t>
      </w:r>
      <w:r w:rsidRPr="00490492">
        <w:t>pocítilo 38 % dotázaných společností</w:t>
      </w:r>
      <w:r>
        <w:t>.</w:t>
      </w:r>
      <w:r w:rsidRPr="00490492">
        <w:t xml:space="preserve"> </w:t>
      </w:r>
      <w:r>
        <w:t>O</w:t>
      </w:r>
      <w:r w:rsidRPr="00490492">
        <w:t xml:space="preserve">bjem zakázek </w:t>
      </w:r>
      <w:r>
        <w:t xml:space="preserve">se jim </w:t>
      </w:r>
      <w:r w:rsidRPr="00490492">
        <w:t>snížil v průměru o 19 %.</w:t>
      </w:r>
    </w:p>
    <w:p w14:paraId="56CFF613" w14:textId="77777777" w:rsidR="00856C9F" w:rsidRDefault="00856C9F" w:rsidP="00856C9F">
      <w:pPr>
        <w:jc w:val="both"/>
        <w:rPr>
          <w:b/>
          <w:bCs/>
        </w:rPr>
      </w:pPr>
      <w:r>
        <w:t>„</w:t>
      </w:r>
      <w:r w:rsidRPr="00490492">
        <w:rPr>
          <w:i/>
          <w:iCs/>
        </w:rPr>
        <w:t>Mezi hlavní problémy patří prodlevy ve schvalovacích procesech, nejistota ohledně správnosti postupů, administrativní zmatek a vyšší riziko vzniku dodatečných nákladů. K zásadním změnám, které by mohly digitalizaci stavebního řízení zlepšit, patří zejména důkladnější příprava a testování systému před jeho ostrým spuštěním, zjednodušení procesů pro žadatele, jednotná metodika a školení úředníků a lepší koordinace mezi státní správou a odbornou veřejností</w:t>
      </w:r>
      <w:r>
        <w:rPr>
          <w:i/>
          <w:iCs/>
        </w:rPr>
        <w:t xml:space="preserve">,“ </w:t>
      </w:r>
      <w:r>
        <w:t xml:space="preserve">popsal </w:t>
      </w:r>
      <w:r w:rsidRPr="00490492">
        <w:rPr>
          <w:b/>
          <w:bCs/>
        </w:rPr>
        <w:t xml:space="preserve">Kamil Jeřábek, generální ředitel a jednatel společnosti </w:t>
      </w:r>
      <w:proofErr w:type="spellStart"/>
      <w:r w:rsidRPr="00490492">
        <w:rPr>
          <w:b/>
          <w:bCs/>
        </w:rPr>
        <w:t>Wienerberger</w:t>
      </w:r>
      <w:proofErr w:type="spellEnd"/>
      <w:r w:rsidRPr="00490492">
        <w:rPr>
          <w:b/>
          <w:bCs/>
        </w:rPr>
        <w:t xml:space="preserve">. </w:t>
      </w:r>
    </w:p>
    <w:p w14:paraId="6ACEDB24" w14:textId="202E29B3" w:rsidR="004659ED" w:rsidRPr="004659ED" w:rsidRDefault="004659ED" w:rsidP="004659ED">
      <w:pPr>
        <w:jc w:val="both"/>
        <w:rPr>
          <w:b/>
          <w:bCs/>
        </w:rPr>
      </w:pPr>
      <w:r w:rsidRPr="004659ED">
        <w:rPr>
          <w:b/>
          <w:bCs/>
        </w:rPr>
        <w:t>Výběrová řízení se zpožďují</w:t>
      </w:r>
    </w:p>
    <w:p w14:paraId="02BE7D37" w14:textId="274C86E1" w:rsidR="00856C9F" w:rsidRDefault="00856C9F" w:rsidP="00856C9F">
      <w:pPr>
        <w:jc w:val="both"/>
      </w:pPr>
      <w:r>
        <w:t xml:space="preserve">Až 54 % dotázaných stavebních firem </w:t>
      </w:r>
      <w:r w:rsidR="004659ED">
        <w:t>uvedlo, že digitalizace negativně ovlivnila</w:t>
      </w:r>
      <w:r w:rsidR="00A765EA">
        <w:t xml:space="preserve"> také</w:t>
      </w:r>
      <w:r w:rsidR="004659ED">
        <w:t xml:space="preserve"> výběrová </w:t>
      </w:r>
      <w:r>
        <w:t>řízení</w:t>
      </w:r>
      <w:r w:rsidR="004659ED">
        <w:t xml:space="preserve">. </w:t>
      </w:r>
      <w:r>
        <w:t xml:space="preserve">Nefunkční systémy způsobují značná zpoždění ve schvalovacích procesech, což negativně ovlivňuje stavební firmy i veřejnou správu. Tato neefektivita </w:t>
      </w:r>
      <w:r>
        <w:lastRenderedPageBreak/>
        <w:t xml:space="preserve">vede k prodlužování lhůt pro získání stavebních povolení, zvyšování nákladů na realizaci projektů a v některých případech až k pozastavení stavebních záměrů. </w:t>
      </w:r>
    </w:p>
    <w:p w14:paraId="45B0863D" w14:textId="70D4590F" w:rsidR="00856C9F" w:rsidRDefault="00CF42D1" w:rsidP="00856C9F">
      <w:pPr>
        <w:jc w:val="both"/>
      </w:pPr>
      <w:r>
        <w:rPr>
          <w:i/>
          <w:iCs/>
        </w:rPr>
        <w:t>„</w:t>
      </w:r>
      <w:r w:rsidR="00856C9F" w:rsidRPr="00185966">
        <w:rPr>
          <w:i/>
          <w:iCs/>
        </w:rPr>
        <w:t>Celkově to vedlo k prodlení v oblasti schvalování projektů, realizaci staveb i odsunu kolaudačních řízení. Mělo to tedy významný dopad představující zpoždění v související administrativě. Digitalizace stavebního řízení je dobrou cestou, ale je potřeba provést důkladnou analýzu potřeb úředníků, kteří danou administrativu vykonávají, hovořit s nimi a teprve na základě takové analýzy postupně nastartovat proces digitalizace</w:t>
      </w:r>
      <w:r w:rsidR="00856C9F">
        <w:rPr>
          <w:i/>
          <w:iCs/>
        </w:rPr>
        <w:t xml:space="preserve">,“ </w:t>
      </w:r>
      <w:r w:rsidR="00856C9F">
        <w:t xml:space="preserve">prohlásil </w:t>
      </w:r>
      <w:r w:rsidR="00856C9F" w:rsidRPr="00185966">
        <w:t>Tomáš Koranda</w:t>
      </w:r>
      <w:r w:rsidR="00856C9F">
        <w:t>,</w:t>
      </w:r>
      <w:r w:rsidR="00856C9F" w:rsidRPr="00185966">
        <w:t xml:space="preserve"> předseda představenstva společnosti HOCHTIEF</w:t>
      </w:r>
      <w:r w:rsidR="00856C9F">
        <w:t xml:space="preserve">. </w:t>
      </w:r>
    </w:p>
    <w:p w14:paraId="201A9F6A" w14:textId="77777777" w:rsidR="00856C9F" w:rsidRPr="00185966" w:rsidRDefault="00856C9F" w:rsidP="00856C9F">
      <w:pPr>
        <w:jc w:val="both"/>
        <w:rPr>
          <w:b/>
          <w:bCs/>
        </w:rPr>
      </w:pPr>
      <w:r w:rsidRPr="00185966">
        <w:rPr>
          <w:b/>
          <w:bCs/>
        </w:rPr>
        <w:t>Administrativní překážky přetrvávají</w:t>
      </w:r>
    </w:p>
    <w:p w14:paraId="38626366" w14:textId="315E7269" w:rsidR="00856C9F" w:rsidRDefault="00CF42D1" w:rsidP="00856C9F">
      <w:pPr>
        <w:jc w:val="both"/>
      </w:pPr>
      <w:r w:rsidRPr="00CF42D1">
        <w:t>Záměr urychlit povolovací procesy po 1. 7. 2024 se zatím nenaplnil</w:t>
      </w:r>
      <w:r>
        <w:t xml:space="preserve">. </w:t>
      </w:r>
      <w:r w:rsidR="00856C9F">
        <w:t>Podle 65 % dotázaných stavebních společností přinesly legislativní změny</w:t>
      </w:r>
      <w:r w:rsidR="00E74645">
        <w:t xml:space="preserve"> </w:t>
      </w:r>
      <w:r w:rsidR="00856C9F">
        <w:t xml:space="preserve">nové komplikace, a povolování staveb neurychlily. Místo </w:t>
      </w:r>
      <w:r>
        <w:t xml:space="preserve">očekávaného zjednodušení došlo </w:t>
      </w:r>
      <w:r w:rsidR="00856C9F">
        <w:t>ke komplikacím a dalšímu zpoždění.</w:t>
      </w:r>
    </w:p>
    <w:p w14:paraId="318C1B3E" w14:textId="12298DAE" w:rsidR="00856C9F" w:rsidRDefault="00856C9F" w:rsidP="00856C9F">
      <w:pPr>
        <w:jc w:val="both"/>
      </w:pPr>
      <w:r>
        <w:t>„</w:t>
      </w:r>
      <w:r w:rsidRPr="00185966">
        <w:rPr>
          <w:i/>
          <w:iCs/>
        </w:rPr>
        <w:t xml:space="preserve">Naším nejvýraznějším aktuálním problémem jsou potíže spojené s požadavkem využívat </w:t>
      </w:r>
      <w:r w:rsidR="00E74645">
        <w:rPr>
          <w:i/>
          <w:iCs/>
        </w:rPr>
        <w:t>p</w:t>
      </w:r>
      <w:r w:rsidRPr="00185966">
        <w:rPr>
          <w:i/>
          <w:iCs/>
        </w:rPr>
        <w:t>ortál stavebníka pro přenos dokumentace a příloh v rámci stavebních řízení, konkrétně zejména nespolehlivost přenosu k</w:t>
      </w:r>
      <w:r w:rsidR="00E74645">
        <w:rPr>
          <w:i/>
          <w:iCs/>
        </w:rPr>
        <w:t> </w:t>
      </w:r>
      <w:r w:rsidRPr="00185966">
        <w:rPr>
          <w:i/>
          <w:iCs/>
        </w:rPr>
        <w:t>úřadům</w:t>
      </w:r>
      <w:r w:rsidR="00E74645">
        <w:rPr>
          <w:i/>
          <w:iCs/>
        </w:rPr>
        <w:t xml:space="preserve"> – a</w:t>
      </w:r>
      <w:r w:rsidRPr="00185966">
        <w:rPr>
          <w:i/>
          <w:iCs/>
        </w:rPr>
        <w:t>dministrativní zátěž spojená s opakovaným nahráváním dokumentace na portál při změnách, a nesoulad mezi portálem stavebníka a lokálními systémy úřadů. To způsobuje nutnost opakovaného doplňování dokumentace nebo příloh řízení. Dočasným řešením by mohlo být umožnění přenosu dokumentů prostřednictvím datových schránek, což však současná legislativa neumožňuje. Nezbytná je co nejrychlejší stabilizace portálu stavebníka a jeho efektivní integrace s navazujícími procesy a systémy</w:t>
      </w:r>
      <w:r>
        <w:rPr>
          <w:i/>
          <w:iCs/>
        </w:rPr>
        <w:t xml:space="preserve">,“ </w:t>
      </w:r>
      <w:r>
        <w:t xml:space="preserve">doplnil </w:t>
      </w:r>
      <w:r w:rsidRPr="00185966">
        <w:t>Ondřej Budík, generální ředitel a jednatel společnosti HBH Projekt</w:t>
      </w:r>
      <w:r>
        <w:t xml:space="preserve">. </w:t>
      </w:r>
    </w:p>
    <w:p w14:paraId="1E7C8084" w14:textId="77777777" w:rsidR="00AE4A49" w:rsidRDefault="00AE4A49" w:rsidP="00DE4AA5">
      <w:pPr>
        <w:rPr>
          <w:b/>
          <w:bCs/>
          <w:sz w:val="22"/>
          <w:szCs w:val="22"/>
        </w:rPr>
      </w:pPr>
    </w:p>
    <w:p w14:paraId="1C2860B9" w14:textId="0C5E735D" w:rsidR="00DE4AA5" w:rsidRPr="00A765EA" w:rsidRDefault="00DE4AA5" w:rsidP="00DE4AA5">
      <w:pPr>
        <w:rPr>
          <w:b/>
          <w:bCs/>
          <w:sz w:val="22"/>
          <w:szCs w:val="22"/>
        </w:rPr>
      </w:pPr>
      <w:r w:rsidRPr="00A765EA">
        <w:rPr>
          <w:b/>
          <w:bCs/>
          <w:sz w:val="22"/>
          <w:szCs w:val="22"/>
        </w:rPr>
        <w:t>Dopady digitalizace stavebního řízení v kostce:</w:t>
      </w:r>
      <w:r w:rsidRPr="00A765EA">
        <w:rPr>
          <w:b/>
          <w:bCs/>
          <w:sz w:val="22"/>
          <w:szCs w:val="22"/>
        </w:rPr>
        <w:br/>
      </w:r>
      <w:r w:rsidRPr="00A765EA">
        <w:rPr>
          <w:sz w:val="22"/>
          <w:szCs w:val="22"/>
        </w:rPr>
        <w:t xml:space="preserve">(CEEC </w:t>
      </w:r>
      <w:proofErr w:type="spellStart"/>
      <w:r w:rsidRPr="00A765EA">
        <w:rPr>
          <w:sz w:val="22"/>
          <w:szCs w:val="22"/>
        </w:rPr>
        <w:t>Research</w:t>
      </w:r>
      <w:proofErr w:type="spellEnd"/>
      <w:r w:rsidRPr="00A765EA">
        <w:rPr>
          <w:sz w:val="22"/>
          <w:szCs w:val="22"/>
        </w:rPr>
        <w:t>)</w:t>
      </w:r>
      <w:r w:rsidRPr="00A765EA">
        <w:rPr>
          <w:b/>
          <w:bCs/>
          <w:sz w:val="22"/>
          <w:szCs w:val="22"/>
        </w:rPr>
        <w:t xml:space="preserve"> </w:t>
      </w:r>
    </w:p>
    <w:p w14:paraId="2E61B322" w14:textId="77777777" w:rsidR="00AE4A49" w:rsidRDefault="00DE4AA5" w:rsidP="00AE4A49">
      <w:r w:rsidRPr="00A765EA">
        <w:rPr>
          <w:b/>
          <w:bCs/>
          <w:sz w:val="22"/>
          <w:szCs w:val="22"/>
        </w:rPr>
        <w:t xml:space="preserve">36 </w:t>
      </w:r>
      <w:r w:rsidRPr="00A765EA">
        <w:rPr>
          <w:sz w:val="22"/>
          <w:szCs w:val="22"/>
        </w:rPr>
        <w:t>%</w:t>
      </w:r>
      <w:r w:rsidRPr="00A765EA">
        <w:rPr>
          <w:b/>
          <w:bCs/>
          <w:sz w:val="22"/>
          <w:szCs w:val="22"/>
        </w:rPr>
        <w:t xml:space="preserve"> </w:t>
      </w:r>
      <w:r w:rsidRPr="00A765EA">
        <w:rPr>
          <w:sz w:val="22"/>
          <w:szCs w:val="22"/>
        </w:rPr>
        <w:t>stavebních firem zaznamenalo pokles tržeb</w:t>
      </w:r>
      <w:r w:rsidR="00B9638D" w:rsidRPr="00A765EA">
        <w:rPr>
          <w:b/>
          <w:bCs/>
          <w:sz w:val="22"/>
          <w:szCs w:val="22"/>
        </w:rPr>
        <w:br/>
        <w:t xml:space="preserve">18 </w:t>
      </w:r>
      <w:r w:rsidR="00B9638D" w:rsidRPr="00A765EA">
        <w:rPr>
          <w:sz w:val="22"/>
          <w:szCs w:val="22"/>
        </w:rPr>
        <w:t>%</w:t>
      </w:r>
      <w:r w:rsidR="00B9638D" w:rsidRPr="00A765EA">
        <w:rPr>
          <w:b/>
          <w:bCs/>
          <w:sz w:val="22"/>
          <w:szCs w:val="22"/>
        </w:rPr>
        <w:t xml:space="preserve"> </w:t>
      </w:r>
      <w:r w:rsidR="00B9638D" w:rsidRPr="00A765EA">
        <w:rPr>
          <w:sz w:val="22"/>
          <w:szCs w:val="22"/>
        </w:rPr>
        <w:t>o tolik procent v průměru klesly stavebním firmám tržby vlivem DSŘ</w:t>
      </w:r>
      <w:r w:rsidR="00B9638D" w:rsidRPr="00A765EA">
        <w:rPr>
          <w:sz w:val="22"/>
          <w:szCs w:val="22"/>
        </w:rPr>
        <w:br/>
      </w:r>
      <w:r w:rsidRPr="00A765EA">
        <w:rPr>
          <w:b/>
          <w:bCs/>
          <w:sz w:val="22"/>
          <w:szCs w:val="22"/>
        </w:rPr>
        <w:t xml:space="preserve">38 </w:t>
      </w:r>
      <w:r w:rsidRPr="00A765EA">
        <w:rPr>
          <w:sz w:val="22"/>
          <w:szCs w:val="22"/>
        </w:rPr>
        <w:t>%</w:t>
      </w:r>
      <w:r w:rsidRPr="00A765EA">
        <w:rPr>
          <w:b/>
          <w:bCs/>
          <w:sz w:val="22"/>
          <w:szCs w:val="22"/>
        </w:rPr>
        <w:t xml:space="preserve"> </w:t>
      </w:r>
      <w:r w:rsidRPr="00A765EA">
        <w:rPr>
          <w:sz w:val="22"/>
          <w:szCs w:val="22"/>
        </w:rPr>
        <w:t>stavebních firem pocítilo pokles v objemu zakázek</w:t>
      </w:r>
      <w:r w:rsidR="00B9638D" w:rsidRPr="00A765EA">
        <w:rPr>
          <w:sz w:val="22"/>
          <w:szCs w:val="22"/>
        </w:rPr>
        <w:br/>
      </w:r>
      <w:r w:rsidR="00B9638D" w:rsidRPr="00A765EA">
        <w:rPr>
          <w:b/>
          <w:bCs/>
          <w:sz w:val="22"/>
          <w:szCs w:val="22"/>
        </w:rPr>
        <w:t>19</w:t>
      </w:r>
      <w:r w:rsidR="00B9638D" w:rsidRPr="00A765EA">
        <w:rPr>
          <w:sz w:val="22"/>
          <w:szCs w:val="22"/>
        </w:rPr>
        <w:t xml:space="preserve"> % o tolik procent v průměru klesl stavebním firmám objem zakázek vlivem DSŘ </w:t>
      </w:r>
      <w:r w:rsidR="00E1605C" w:rsidRPr="00A765EA">
        <w:rPr>
          <w:sz w:val="22"/>
          <w:szCs w:val="22"/>
        </w:rPr>
        <w:br/>
      </w:r>
      <w:r w:rsidR="00E1605C" w:rsidRPr="00A765EA">
        <w:rPr>
          <w:b/>
          <w:bCs/>
          <w:sz w:val="22"/>
          <w:szCs w:val="22"/>
        </w:rPr>
        <w:t>54</w:t>
      </w:r>
      <w:r w:rsidR="00E1605C" w:rsidRPr="00A765EA">
        <w:rPr>
          <w:sz w:val="22"/>
          <w:szCs w:val="22"/>
        </w:rPr>
        <w:t xml:space="preserve"> % dotázaných stavebních firem uvedlo, že digitalizace negativně ovlivnila výběrová řízení</w:t>
      </w:r>
      <w:r w:rsidR="00AE4A49">
        <w:rPr>
          <w:sz w:val="22"/>
          <w:szCs w:val="22"/>
        </w:rPr>
        <w:br/>
      </w:r>
      <w:r w:rsidR="00AE4A49">
        <w:rPr>
          <w:sz w:val="22"/>
          <w:szCs w:val="22"/>
        </w:rPr>
        <w:br/>
      </w:r>
    </w:p>
    <w:p w14:paraId="32876135" w14:textId="7521E0FC" w:rsidR="00DE4AA5" w:rsidRPr="00AE4A49" w:rsidRDefault="00AE4A49" w:rsidP="004A4494">
      <w:r>
        <w:t>Jiří Uhlíř</w:t>
      </w:r>
      <w:r>
        <w:br/>
        <w:t xml:space="preserve">PR manažer CEEC </w:t>
      </w:r>
      <w:proofErr w:type="spellStart"/>
      <w:r>
        <w:t>Research</w:t>
      </w:r>
      <w:proofErr w:type="spellEnd"/>
      <w:r>
        <w:br/>
      </w:r>
      <w:r w:rsidRPr="0095369C">
        <w:rPr>
          <w:b/>
          <w:bCs/>
        </w:rPr>
        <w:t>Mob</w:t>
      </w:r>
      <w:r>
        <w:t>.: 724014643</w:t>
      </w:r>
      <w:r>
        <w:br/>
      </w:r>
      <w:r w:rsidRPr="0095369C">
        <w:rPr>
          <w:b/>
          <w:bCs/>
        </w:rPr>
        <w:t>Mail</w:t>
      </w:r>
      <w:r>
        <w:t>: uhlir@ceec.eu</w:t>
      </w:r>
    </w:p>
    <w:sectPr w:rsidR="00DE4AA5" w:rsidRPr="00AE4A4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DE7BB" w14:textId="77777777" w:rsidR="00637482" w:rsidRDefault="00637482" w:rsidP="004A4494">
      <w:pPr>
        <w:spacing w:after="0" w:line="240" w:lineRule="auto"/>
      </w:pPr>
      <w:r>
        <w:separator/>
      </w:r>
    </w:p>
  </w:endnote>
  <w:endnote w:type="continuationSeparator" w:id="0">
    <w:p w14:paraId="6A6D00A6" w14:textId="77777777" w:rsidR="00637482" w:rsidRDefault="00637482" w:rsidP="004A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ED22B" w14:textId="77777777" w:rsidR="00637482" w:rsidRDefault="00637482" w:rsidP="004A4494">
      <w:pPr>
        <w:spacing w:after="0" w:line="240" w:lineRule="auto"/>
      </w:pPr>
      <w:r>
        <w:separator/>
      </w:r>
    </w:p>
  </w:footnote>
  <w:footnote w:type="continuationSeparator" w:id="0">
    <w:p w14:paraId="1B4788C9" w14:textId="77777777" w:rsidR="00637482" w:rsidRDefault="00637482" w:rsidP="004A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26FA9" w14:textId="4C6F5A7C" w:rsidR="00D61289" w:rsidRDefault="002F640A">
    <w:pPr>
      <w:pStyle w:val="Zhlav"/>
    </w:pPr>
    <w:r>
      <w:rPr>
        <w:noProof/>
      </w:rPr>
      <w:drawing>
        <wp:anchor distT="0" distB="0" distL="114300" distR="114300" simplePos="0" relativeHeight="251659264" behindDoc="1" locked="0" layoutInCell="1" allowOverlap="1" wp14:anchorId="1A6577F8" wp14:editId="4D628395">
          <wp:simplePos x="0" y="0"/>
          <wp:positionH relativeFrom="page">
            <wp:align>right</wp:align>
          </wp:positionH>
          <wp:positionV relativeFrom="paragraph">
            <wp:posOffset>-495300</wp:posOffset>
          </wp:positionV>
          <wp:extent cx="7533640" cy="1222329"/>
          <wp:effectExtent l="0" t="0" r="0" b="0"/>
          <wp:wrapNone/>
          <wp:docPr id="4924728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3640" cy="12223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D302A" w14:textId="77777777" w:rsidR="000468DA" w:rsidRDefault="000468DA">
    <w:pPr>
      <w:pStyle w:val="Zhlav"/>
    </w:pPr>
  </w:p>
  <w:p w14:paraId="05269DBD" w14:textId="77777777" w:rsidR="000468DA" w:rsidRDefault="000468DA">
    <w:pPr>
      <w:pStyle w:val="Zhlav"/>
    </w:pPr>
  </w:p>
  <w:p w14:paraId="0F3AE276" w14:textId="77777777" w:rsidR="000468DA" w:rsidRDefault="000468D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94"/>
    <w:rsid w:val="000442F2"/>
    <w:rsid w:val="000468DA"/>
    <w:rsid w:val="00046AFD"/>
    <w:rsid w:val="000608A1"/>
    <w:rsid w:val="000724F5"/>
    <w:rsid w:val="000E2CF5"/>
    <w:rsid w:val="000F49DC"/>
    <w:rsid w:val="001D72C8"/>
    <w:rsid w:val="00257361"/>
    <w:rsid w:val="00277BD0"/>
    <w:rsid w:val="002B0FD4"/>
    <w:rsid w:val="002C24E1"/>
    <w:rsid w:val="002F640A"/>
    <w:rsid w:val="003173BC"/>
    <w:rsid w:val="003247F1"/>
    <w:rsid w:val="003A7380"/>
    <w:rsid w:val="003D0C42"/>
    <w:rsid w:val="003E3464"/>
    <w:rsid w:val="003E4846"/>
    <w:rsid w:val="003F4776"/>
    <w:rsid w:val="004659ED"/>
    <w:rsid w:val="004A4494"/>
    <w:rsid w:val="00522E52"/>
    <w:rsid w:val="005B266E"/>
    <w:rsid w:val="005F0F34"/>
    <w:rsid w:val="00611F78"/>
    <w:rsid w:val="0061488A"/>
    <w:rsid w:val="00637482"/>
    <w:rsid w:val="00663C57"/>
    <w:rsid w:val="006752D7"/>
    <w:rsid w:val="007F5AF2"/>
    <w:rsid w:val="0082508B"/>
    <w:rsid w:val="00856C9F"/>
    <w:rsid w:val="00867E36"/>
    <w:rsid w:val="009373C5"/>
    <w:rsid w:val="00943AB6"/>
    <w:rsid w:val="00964C88"/>
    <w:rsid w:val="00A05394"/>
    <w:rsid w:val="00A74C86"/>
    <w:rsid w:val="00A765EA"/>
    <w:rsid w:val="00A83698"/>
    <w:rsid w:val="00AB08FD"/>
    <w:rsid w:val="00AC3678"/>
    <w:rsid w:val="00AE4A49"/>
    <w:rsid w:val="00B9638D"/>
    <w:rsid w:val="00C71C3F"/>
    <w:rsid w:val="00C72354"/>
    <w:rsid w:val="00CC1205"/>
    <w:rsid w:val="00CD0120"/>
    <w:rsid w:val="00CF42D1"/>
    <w:rsid w:val="00D26795"/>
    <w:rsid w:val="00D47EB2"/>
    <w:rsid w:val="00D61289"/>
    <w:rsid w:val="00D91A94"/>
    <w:rsid w:val="00DE4AA5"/>
    <w:rsid w:val="00E1605C"/>
    <w:rsid w:val="00E41CFF"/>
    <w:rsid w:val="00E74645"/>
    <w:rsid w:val="00E87E37"/>
    <w:rsid w:val="00EB0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8D732"/>
  <w15:chartTrackingRefBased/>
  <w15:docId w15:val="{5DDE0FE3-5016-4670-BFDD-D0AA5E9E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A4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A4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A449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A449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A449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A449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A449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A449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A449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449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A449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A449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A449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A449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A449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A449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A449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A4494"/>
    <w:rPr>
      <w:rFonts w:eastAsiaTheme="majorEastAsia" w:cstheme="majorBidi"/>
      <w:color w:val="272727" w:themeColor="text1" w:themeTint="D8"/>
    </w:rPr>
  </w:style>
  <w:style w:type="paragraph" w:styleId="Nzev">
    <w:name w:val="Title"/>
    <w:basedOn w:val="Normln"/>
    <w:next w:val="Normln"/>
    <w:link w:val="NzevChar"/>
    <w:uiPriority w:val="10"/>
    <w:qFormat/>
    <w:rsid w:val="004A4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A449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A449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A449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A4494"/>
    <w:pPr>
      <w:spacing w:before="160"/>
      <w:jc w:val="center"/>
    </w:pPr>
    <w:rPr>
      <w:i/>
      <w:iCs/>
      <w:color w:val="404040" w:themeColor="text1" w:themeTint="BF"/>
    </w:rPr>
  </w:style>
  <w:style w:type="character" w:customStyle="1" w:styleId="CittChar">
    <w:name w:val="Citát Char"/>
    <w:basedOn w:val="Standardnpsmoodstavce"/>
    <w:link w:val="Citt"/>
    <w:uiPriority w:val="29"/>
    <w:rsid w:val="004A4494"/>
    <w:rPr>
      <w:i/>
      <w:iCs/>
      <w:color w:val="404040" w:themeColor="text1" w:themeTint="BF"/>
    </w:rPr>
  </w:style>
  <w:style w:type="paragraph" w:styleId="Odstavecseseznamem">
    <w:name w:val="List Paragraph"/>
    <w:basedOn w:val="Normln"/>
    <w:uiPriority w:val="34"/>
    <w:qFormat/>
    <w:rsid w:val="004A4494"/>
    <w:pPr>
      <w:ind w:left="720"/>
      <w:contextualSpacing/>
    </w:pPr>
  </w:style>
  <w:style w:type="character" w:styleId="Zdraznnintenzivn">
    <w:name w:val="Intense Emphasis"/>
    <w:basedOn w:val="Standardnpsmoodstavce"/>
    <w:uiPriority w:val="21"/>
    <w:qFormat/>
    <w:rsid w:val="004A4494"/>
    <w:rPr>
      <w:i/>
      <w:iCs/>
      <w:color w:val="0F4761" w:themeColor="accent1" w:themeShade="BF"/>
    </w:rPr>
  </w:style>
  <w:style w:type="paragraph" w:styleId="Vrazncitt">
    <w:name w:val="Intense Quote"/>
    <w:basedOn w:val="Normln"/>
    <w:next w:val="Normln"/>
    <w:link w:val="VrazncittChar"/>
    <w:uiPriority w:val="30"/>
    <w:qFormat/>
    <w:rsid w:val="004A4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A4494"/>
    <w:rPr>
      <w:i/>
      <w:iCs/>
      <w:color w:val="0F4761" w:themeColor="accent1" w:themeShade="BF"/>
    </w:rPr>
  </w:style>
  <w:style w:type="character" w:styleId="Odkazintenzivn">
    <w:name w:val="Intense Reference"/>
    <w:basedOn w:val="Standardnpsmoodstavce"/>
    <w:uiPriority w:val="32"/>
    <w:qFormat/>
    <w:rsid w:val="004A4494"/>
    <w:rPr>
      <w:b/>
      <w:bCs/>
      <w:smallCaps/>
      <w:color w:val="0F4761" w:themeColor="accent1" w:themeShade="BF"/>
      <w:spacing w:val="5"/>
    </w:rPr>
  </w:style>
  <w:style w:type="paragraph" w:styleId="Zhlav">
    <w:name w:val="header"/>
    <w:basedOn w:val="Normln"/>
    <w:link w:val="ZhlavChar"/>
    <w:uiPriority w:val="99"/>
    <w:unhideWhenUsed/>
    <w:rsid w:val="004A44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4494"/>
  </w:style>
  <w:style w:type="paragraph" w:styleId="Zpat">
    <w:name w:val="footer"/>
    <w:basedOn w:val="Normln"/>
    <w:link w:val="ZpatChar"/>
    <w:uiPriority w:val="99"/>
    <w:unhideWhenUsed/>
    <w:rsid w:val="004A4494"/>
    <w:pPr>
      <w:tabs>
        <w:tab w:val="center" w:pos="4536"/>
        <w:tab w:val="right" w:pos="9072"/>
      </w:tabs>
      <w:spacing w:after="0" w:line="240" w:lineRule="auto"/>
    </w:pPr>
  </w:style>
  <w:style w:type="character" w:customStyle="1" w:styleId="ZpatChar">
    <w:name w:val="Zápatí Char"/>
    <w:basedOn w:val="Standardnpsmoodstavce"/>
    <w:link w:val="Zpat"/>
    <w:uiPriority w:val="99"/>
    <w:rsid w:val="004A4494"/>
  </w:style>
  <w:style w:type="character" w:styleId="Hypertextovodkaz">
    <w:name w:val="Hyperlink"/>
    <w:basedOn w:val="Standardnpsmoodstavce"/>
    <w:uiPriority w:val="99"/>
    <w:unhideWhenUsed/>
    <w:rsid w:val="000608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7655">
      <w:bodyDiv w:val="1"/>
      <w:marLeft w:val="0"/>
      <w:marRight w:val="0"/>
      <w:marTop w:val="0"/>
      <w:marBottom w:val="0"/>
      <w:divBdr>
        <w:top w:val="none" w:sz="0" w:space="0" w:color="auto"/>
        <w:left w:val="none" w:sz="0" w:space="0" w:color="auto"/>
        <w:bottom w:val="none" w:sz="0" w:space="0" w:color="auto"/>
        <w:right w:val="none" w:sz="0" w:space="0" w:color="auto"/>
      </w:divBdr>
    </w:div>
    <w:div w:id="12453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583</TotalTime>
  <Pages>2</Pages>
  <Words>697</Words>
  <Characters>4117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 Franěk</dc:creator>
  <cp:keywords/>
  <dc:description/>
  <cp:lastModifiedBy>Jiří Uhlíř</cp:lastModifiedBy>
  <cp:revision>16</cp:revision>
  <dcterms:created xsi:type="dcterms:W3CDTF">2025-04-13T21:43:00Z</dcterms:created>
  <dcterms:modified xsi:type="dcterms:W3CDTF">2025-04-24T10:20:00Z</dcterms:modified>
</cp:coreProperties>
</file>