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0A" w:rsidRDefault="007D430A" w:rsidP="007449E4">
      <w:pPr>
        <w:rPr>
          <w:rFonts w:asciiTheme="minorHAnsi" w:eastAsia="Times New Roman" w:hAnsiTheme="minorHAnsi" w:cs="Arial"/>
          <w:b/>
          <w:bCs/>
          <w:sz w:val="24"/>
          <w:szCs w:val="24"/>
          <w:u w:val="single"/>
        </w:rPr>
      </w:pPr>
      <w:bookmarkStart w:id="0" w:name="_GoBack"/>
      <w:bookmarkEnd w:id="0"/>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Pr="009B00C2" w:rsidRDefault="007D430A" w:rsidP="007D430A">
      <w:pPr>
        <w:jc w:val="center"/>
        <w:rPr>
          <w:rFonts w:asciiTheme="minorHAnsi" w:eastAsia="Times New Roman" w:hAnsiTheme="minorHAnsi" w:cs="Arial"/>
          <w:b/>
          <w:bCs/>
          <w:sz w:val="144"/>
          <w:szCs w:val="144"/>
        </w:rPr>
      </w:pPr>
      <w:r w:rsidRPr="009B00C2">
        <w:rPr>
          <w:rFonts w:asciiTheme="minorHAnsi" w:eastAsia="Times New Roman" w:hAnsiTheme="minorHAnsi" w:cs="Arial"/>
          <w:b/>
          <w:bCs/>
          <w:sz w:val="144"/>
          <w:szCs w:val="144"/>
        </w:rPr>
        <w:t xml:space="preserve">Balíček </w:t>
      </w:r>
    </w:p>
    <w:p w:rsidR="007D430A" w:rsidRPr="007D430A" w:rsidRDefault="008112CD" w:rsidP="007D430A">
      <w:pPr>
        <w:jc w:val="center"/>
        <w:rPr>
          <w:rFonts w:asciiTheme="minorHAnsi" w:eastAsia="Times New Roman" w:hAnsiTheme="minorHAnsi" w:cs="Arial"/>
          <w:b/>
          <w:bCs/>
          <w:sz w:val="72"/>
          <w:szCs w:val="72"/>
        </w:rPr>
      </w:pPr>
      <w:r>
        <w:rPr>
          <w:rFonts w:asciiTheme="minorHAnsi" w:eastAsia="Times New Roman" w:hAnsiTheme="minorHAnsi" w:cs="Arial"/>
          <w:b/>
          <w:bCs/>
          <w:sz w:val="72"/>
          <w:szCs w:val="72"/>
        </w:rPr>
        <w:t xml:space="preserve">25 </w:t>
      </w:r>
      <w:r w:rsidR="009B00C2">
        <w:rPr>
          <w:rFonts w:asciiTheme="minorHAnsi" w:eastAsia="Times New Roman" w:hAnsiTheme="minorHAnsi" w:cs="Arial"/>
          <w:b/>
          <w:bCs/>
          <w:sz w:val="72"/>
          <w:szCs w:val="72"/>
        </w:rPr>
        <w:t xml:space="preserve">hlavních </w:t>
      </w:r>
      <w:r w:rsidR="007D430A" w:rsidRPr="007D430A">
        <w:rPr>
          <w:rFonts w:asciiTheme="minorHAnsi" w:eastAsia="Times New Roman" w:hAnsiTheme="minorHAnsi" w:cs="Arial"/>
          <w:b/>
          <w:bCs/>
          <w:sz w:val="72"/>
          <w:szCs w:val="72"/>
        </w:rPr>
        <w:t>změn pro podnikatele</w:t>
      </w:r>
    </w:p>
    <w:p w:rsidR="007D430A" w:rsidRPr="009B00C2" w:rsidRDefault="007D430A" w:rsidP="007D430A">
      <w:pPr>
        <w:jc w:val="center"/>
        <w:rPr>
          <w:rFonts w:asciiTheme="minorHAnsi" w:eastAsia="Times New Roman" w:hAnsiTheme="minorHAnsi" w:cs="Arial"/>
          <w:b/>
          <w:bCs/>
          <w:sz w:val="144"/>
          <w:szCs w:val="144"/>
        </w:rPr>
      </w:pPr>
      <w:r w:rsidRPr="009B00C2">
        <w:rPr>
          <w:rFonts w:asciiTheme="minorHAnsi" w:eastAsia="Times New Roman" w:hAnsiTheme="minorHAnsi" w:cs="Arial"/>
          <w:b/>
          <w:bCs/>
          <w:sz w:val="144"/>
          <w:szCs w:val="144"/>
        </w:rPr>
        <w:t>2018</w:t>
      </w:r>
    </w:p>
    <w:p w:rsidR="007D430A" w:rsidRPr="007D430A" w:rsidRDefault="007D430A" w:rsidP="007D430A">
      <w:pPr>
        <w:jc w:val="center"/>
        <w:rPr>
          <w:rFonts w:asciiTheme="minorHAnsi" w:eastAsia="Times New Roman" w:hAnsiTheme="minorHAnsi" w:cs="Arial"/>
          <w:b/>
          <w:bCs/>
          <w:sz w:val="96"/>
          <w:szCs w:val="96"/>
        </w:rPr>
      </w:pPr>
    </w:p>
    <w:p w:rsidR="007D430A" w:rsidRPr="00F00D76" w:rsidRDefault="007D430A" w:rsidP="007D430A">
      <w:pPr>
        <w:jc w:val="center"/>
        <w:rPr>
          <w:rFonts w:asciiTheme="minorHAnsi" w:eastAsia="Times New Roman" w:hAnsiTheme="minorHAnsi" w:cs="Arial"/>
          <w:b/>
          <w:bCs/>
          <w:sz w:val="28"/>
          <w:szCs w:val="28"/>
        </w:rPr>
      </w:pPr>
      <w:r w:rsidRPr="00F00D76">
        <w:rPr>
          <w:rFonts w:asciiTheme="minorHAnsi" w:eastAsia="Times New Roman" w:hAnsiTheme="minorHAnsi" w:cs="Arial"/>
          <w:b/>
          <w:bCs/>
          <w:sz w:val="28"/>
          <w:szCs w:val="28"/>
        </w:rPr>
        <w:t>Zpracoval tým Asociace malých a středních podniků a živnostníků ČR</w:t>
      </w:r>
    </w:p>
    <w:p w:rsidR="005318EF" w:rsidRPr="00F00D76" w:rsidRDefault="005318EF" w:rsidP="007D430A">
      <w:pPr>
        <w:jc w:val="center"/>
        <w:rPr>
          <w:rFonts w:asciiTheme="minorHAnsi" w:eastAsia="Times New Roman" w:hAnsiTheme="minorHAnsi" w:cs="Arial"/>
          <w:b/>
          <w:bCs/>
          <w:sz w:val="28"/>
          <w:szCs w:val="28"/>
        </w:rPr>
      </w:pPr>
    </w:p>
    <w:p w:rsidR="007D430A" w:rsidRPr="007D430A" w:rsidRDefault="005318EF" w:rsidP="007D430A">
      <w:pPr>
        <w:jc w:val="center"/>
        <w:rPr>
          <w:rFonts w:asciiTheme="minorHAnsi" w:eastAsia="Times New Roman" w:hAnsiTheme="minorHAnsi" w:cs="Arial"/>
          <w:b/>
          <w:bCs/>
          <w:sz w:val="32"/>
          <w:szCs w:val="32"/>
        </w:rPr>
      </w:pPr>
      <w:r w:rsidRPr="00F00D76">
        <w:rPr>
          <w:rFonts w:asciiTheme="minorHAnsi" w:eastAsia="Times New Roman" w:hAnsiTheme="minorHAnsi" w:cs="Arial"/>
          <w:b/>
          <w:bCs/>
          <w:sz w:val="28"/>
          <w:szCs w:val="28"/>
        </w:rPr>
        <w:t>(</w:t>
      </w:r>
      <w:r w:rsidR="00F00D76" w:rsidRPr="00F00D76">
        <w:rPr>
          <w:rFonts w:asciiTheme="minorHAnsi" w:eastAsia="Times New Roman" w:hAnsiTheme="minorHAnsi" w:cs="Arial"/>
          <w:b/>
          <w:bCs/>
          <w:sz w:val="28"/>
          <w:szCs w:val="28"/>
        </w:rPr>
        <w:t xml:space="preserve">28. </w:t>
      </w:r>
      <w:r w:rsidRPr="00F00D76">
        <w:rPr>
          <w:rFonts w:asciiTheme="minorHAnsi" w:eastAsia="Times New Roman" w:hAnsiTheme="minorHAnsi" w:cs="Arial"/>
          <w:b/>
          <w:bCs/>
          <w:sz w:val="28"/>
          <w:szCs w:val="28"/>
        </w:rPr>
        <w:t>listopad</w:t>
      </w:r>
      <w:r w:rsidR="00F00D76" w:rsidRPr="00F00D76">
        <w:rPr>
          <w:rFonts w:asciiTheme="minorHAnsi" w:eastAsia="Times New Roman" w:hAnsiTheme="minorHAnsi" w:cs="Arial"/>
          <w:b/>
          <w:bCs/>
          <w:sz w:val="28"/>
          <w:szCs w:val="28"/>
        </w:rPr>
        <w:t>u</w:t>
      </w:r>
      <w:r w:rsidRPr="00F00D76">
        <w:rPr>
          <w:rFonts w:asciiTheme="minorHAnsi" w:eastAsia="Times New Roman" w:hAnsiTheme="minorHAnsi" w:cs="Arial"/>
          <w:b/>
          <w:bCs/>
          <w:sz w:val="28"/>
          <w:szCs w:val="28"/>
        </w:rPr>
        <w:t xml:space="preserve"> 2017)</w:t>
      </w:r>
    </w:p>
    <w:p w:rsidR="007D430A" w:rsidRPr="007D430A" w:rsidRDefault="007D430A" w:rsidP="007449E4">
      <w:pPr>
        <w:rPr>
          <w:rFonts w:asciiTheme="minorHAnsi" w:eastAsia="Times New Roman" w:hAnsiTheme="minorHAnsi" w:cs="Arial"/>
          <w:b/>
          <w:bCs/>
          <w:sz w:val="32"/>
          <w:szCs w:val="32"/>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449E4">
      <w:pPr>
        <w:rPr>
          <w:rFonts w:asciiTheme="minorHAnsi" w:eastAsia="Times New Roman" w:hAnsiTheme="minorHAnsi" w:cs="Arial"/>
          <w:b/>
          <w:bCs/>
          <w:sz w:val="24"/>
          <w:szCs w:val="24"/>
          <w:u w:val="single"/>
        </w:rPr>
      </w:pPr>
    </w:p>
    <w:p w:rsidR="007D430A" w:rsidRDefault="007D430A" w:rsidP="007D430A">
      <w:pPr>
        <w:jc w:val="right"/>
        <w:rPr>
          <w:rFonts w:asciiTheme="minorHAnsi" w:eastAsia="Times New Roman" w:hAnsiTheme="minorHAnsi" w:cs="Arial"/>
          <w:b/>
          <w:bCs/>
          <w:sz w:val="24"/>
          <w:szCs w:val="24"/>
          <w:u w:val="single"/>
        </w:rPr>
      </w:pPr>
    </w:p>
    <w:p w:rsidR="009B00C2" w:rsidRDefault="009B00C2" w:rsidP="007D430A">
      <w:pPr>
        <w:jc w:val="right"/>
        <w:rPr>
          <w:rFonts w:asciiTheme="minorHAnsi" w:eastAsia="Times New Roman" w:hAnsiTheme="minorHAnsi" w:cs="Arial"/>
          <w:b/>
          <w:bCs/>
          <w:sz w:val="24"/>
          <w:szCs w:val="24"/>
          <w:u w:val="single"/>
        </w:rPr>
      </w:pPr>
    </w:p>
    <w:p w:rsidR="009B00C2" w:rsidRDefault="009B00C2" w:rsidP="007D430A">
      <w:pPr>
        <w:jc w:val="right"/>
        <w:rPr>
          <w:rFonts w:asciiTheme="minorHAnsi" w:eastAsia="Times New Roman" w:hAnsiTheme="minorHAnsi" w:cs="Arial"/>
          <w:b/>
          <w:bCs/>
          <w:sz w:val="24"/>
          <w:szCs w:val="24"/>
          <w:u w:val="single"/>
        </w:rPr>
      </w:pPr>
    </w:p>
    <w:p w:rsidR="00344495" w:rsidRPr="008112CD" w:rsidRDefault="00F771EF" w:rsidP="008112CD">
      <w:pPr>
        <w:pStyle w:val="Odstavecseseznamem"/>
        <w:numPr>
          <w:ilvl w:val="0"/>
          <w:numId w:val="40"/>
        </w:numPr>
        <w:rPr>
          <w:rFonts w:asciiTheme="minorHAnsi" w:eastAsia="Times New Roman" w:hAnsiTheme="minorHAnsi" w:cs="Arial"/>
          <w:b/>
          <w:bCs/>
          <w:sz w:val="24"/>
          <w:szCs w:val="24"/>
          <w:u w:val="single"/>
        </w:rPr>
      </w:pPr>
      <w:r w:rsidRPr="008112CD">
        <w:rPr>
          <w:rFonts w:asciiTheme="minorHAnsi" w:eastAsia="Times New Roman" w:hAnsiTheme="minorHAnsi" w:cs="Arial"/>
          <w:b/>
          <w:bCs/>
          <w:sz w:val="24"/>
          <w:szCs w:val="24"/>
          <w:u w:val="single"/>
        </w:rPr>
        <w:t>Změna</w:t>
      </w:r>
      <w:r w:rsidR="00344495" w:rsidRPr="008112CD">
        <w:rPr>
          <w:rFonts w:asciiTheme="minorHAnsi" w:eastAsia="Times New Roman" w:hAnsiTheme="minorHAnsi" w:cs="Arial"/>
          <w:b/>
          <w:bCs/>
          <w:sz w:val="24"/>
          <w:szCs w:val="24"/>
          <w:u w:val="single"/>
        </w:rPr>
        <w:t xml:space="preserve"> výdaj</w:t>
      </w:r>
      <w:r w:rsidRPr="008112CD">
        <w:rPr>
          <w:rFonts w:asciiTheme="minorHAnsi" w:eastAsia="Times New Roman" w:hAnsiTheme="minorHAnsi" w:cs="Arial"/>
          <w:b/>
          <w:bCs/>
          <w:sz w:val="24"/>
          <w:szCs w:val="24"/>
          <w:u w:val="single"/>
        </w:rPr>
        <w:t>ových paušálů</w:t>
      </w:r>
    </w:p>
    <w:p w:rsidR="007449E4" w:rsidRPr="007449E4" w:rsidRDefault="007449E4" w:rsidP="007449E4">
      <w:pPr>
        <w:rPr>
          <w:rFonts w:asciiTheme="minorHAnsi" w:hAnsiTheme="minorHAnsi"/>
          <w:b/>
          <w:u w:val="single"/>
        </w:rPr>
      </w:pPr>
    </w:p>
    <w:p w:rsidR="00344495" w:rsidRDefault="00344495" w:rsidP="007449E4">
      <w:pPr>
        <w:jc w:val="both"/>
        <w:rPr>
          <w:rFonts w:asciiTheme="minorHAnsi" w:eastAsia="Times New Roman" w:hAnsiTheme="minorHAnsi" w:cs="Arial"/>
        </w:rPr>
      </w:pPr>
      <w:r w:rsidRPr="007449E4">
        <w:rPr>
          <w:rFonts w:asciiTheme="minorHAnsi" w:eastAsia="Times New Roman" w:hAnsiTheme="minorHAnsi" w:cs="Arial"/>
        </w:rPr>
        <w:t xml:space="preserve">Od roku 2018 dojde k </w:t>
      </w:r>
      <w:r w:rsidRPr="007449E4">
        <w:rPr>
          <w:rFonts w:asciiTheme="minorHAnsi" w:eastAsia="Times New Roman" w:hAnsiTheme="minorHAnsi" w:cs="Arial"/>
          <w:b/>
          <w:bCs/>
        </w:rPr>
        <w:t>omezení maximální částky výdajů</w:t>
      </w:r>
      <w:r w:rsidRPr="007449E4">
        <w:rPr>
          <w:rFonts w:asciiTheme="minorHAnsi" w:eastAsia="Times New Roman" w:hAnsiTheme="minorHAnsi" w:cs="Arial"/>
        </w:rPr>
        <w:t xml:space="preserve">, které si bude moci uplatnit </w:t>
      </w:r>
      <w:r w:rsidR="00B42441" w:rsidRPr="007449E4">
        <w:rPr>
          <w:rFonts w:asciiTheme="minorHAnsi" w:eastAsia="Times New Roman" w:hAnsiTheme="minorHAnsi" w:cs="Arial"/>
        </w:rPr>
        <w:t>živnostník (OSVČ)</w:t>
      </w:r>
      <w:r w:rsidRPr="007449E4">
        <w:rPr>
          <w:rFonts w:asciiTheme="minorHAnsi" w:eastAsia="Times New Roman" w:hAnsiTheme="minorHAnsi" w:cs="Arial"/>
        </w:rPr>
        <w:t xml:space="preserve">, který uplatňuje paušální výdaje. </w:t>
      </w:r>
      <w:r w:rsidR="00F771EF" w:rsidRPr="007449E4">
        <w:rPr>
          <w:rFonts w:asciiTheme="minorHAnsi" w:eastAsia="Times New Roman" w:hAnsiTheme="minorHAnsi" w:cs="Arial"/>
        </w:rPr>
        <w:t xml:space="preserve">Tyto výdaje </w:t>
      </w:r>
      <w:r w:rsidR="00F771EF" w:rsidRPr="007449E4">
        <w:rPr>
          <w:rFonts w:asciiTheme="minorHAnsi" w:eastAsia="Times New Roman" w:hAnsiTheme="minorHAnsi" w:cs="Arial"/>
          <w:b/>
          <w:bCs/>
        </w:rPr>
        <w:t>odpovídají nově výši příjmů 1 000 000 Kč</w:t>
      </w:r>
      <w:r w:rsidR="00F771EF" w:rsidRPr="007449E4">
        <w:rPr>
          <w:rFonts w:asciiTheme="minorHAnsi" w:eastAsia="Times New Roman" w:hAnsiTheme="minorHAnsi" w:cs="Arial"/>
        </w:rPr>
        <w:t>. Pokud bude mít poplatník příjmy vyšší, může paušální výdaje uplatnit také, ale pouze v</w:t>
      </w:r>
      <w:r w:rsidR="00F00D76">
        <w:rPr>
          <w:rFonts w:asciiTheme="minorHAnsi" w:eastAsia="Times New Roman" w:hAnsiTheme="minorHAnsi" w:cs="Arial"/>
        </w:rPr>
        <w:t> </w:t>
      </w:r>
      <w:r w:rsidR="00F771EF" w:rsidRPr="007449E4">
        <w:rPr>
          <w:rFonts w:asciiTheme="minorHAnsi" w:eastAsia="Times New Roman" w:hAnsiTheme="minorHAnsi" w:cs="Arial"/>
        </w:rPr>
        <w:t>částkách</w:t>
      </w:r>
      <w:r w:rsidR="00F00D76">
        <w:rPr>
          <w:rFonts w:asciiTheme="minorHAnsi" w:eastAsia="Times New Roman" w:hAnsiTheme="minorHAnsi" w:cs="Arial"/>
        </w:rPr>
        <w:t xml:space="preserve"> </w:t>
      </w:r>
      <w:r w:rsidR="00F771EF" w:rsidRPr="007449E4">
        <w:rPr>
          <w:rFonts w:asciiTheme="minorHAnsi" w:eastAsia="Times New Roman" w:hAnsiTheme="minorHAnsi" w:cs="Arial"/>
        </w:rPr>
        <w:t>odpovídajících příjmům 1 milion korun</w:t>
      </w:r>
      <w:r w:rsidR="007449E4" w:rsidRPr="007449E4">
        <w:rPr>
          <w:rFonts w:asciiTheme="minorHAnsi" w:eastAsia="Times New Roman" w:hAnsiTheme="minorHAnsi" w:cs="Arial"/>
        </w:rPr>
        <w:t>,</w:t>
      </w:r>
      <w:r w:rsidR="00F771EF" w:rsidRPr="007449E4">
        <w:rPr>
          <w:rFonts w:asciiTheme="minorHAnsi" w:eastAsia="Times New Roman" w:hAnsiTheme="minorHAnsi" w:cs="Arial"/>
        </w:rPr>
        <w:t xml:space="preserve"> a tedy i odpovídajícím paušálům. Vůči předcházejícímu období se jedná o snížení výdajových paušálů na polovinu, tedy snížení maxi</w:t>
      </w:r>
      <w:r w:rsidR="008B6D19" w:rsidRPr="007449E4">
        <w:rPr>
          <w:rFonts w:asciiTheme="minorHAnsi" w:eastAsia="Times New Roman" w:hAnsiTheme="minorHAnsi" w:cs="Arial"/>
        </w:rPr>
        <w:t>m</w:t>
      </w:r>
      <w:r w:rsidR="00F771EF" w:rsidRPr="007449E4">
        <w:rPr>
          <w:rFonts w:asciiTheme="minorHAnsi" w:eastAsia="Times New Roman" w:hAnsiTheme="minorHAnsi" w:cs="Arial"/>
        </w:rPr>
        <w:t>áln</w:t>
      </w:r>
      <w:r w:rsidR="008B6D19" w:rsidRPr="007449E4">
        <w:rPr>
          <w:rFonts w:asciiTheme="minorHAnsi" w:eastAsia="Times New Roman" w:hAnsiTheme="minorHAnsi" w:cs="Arial"/>
        </w:rPr>
        <w:t>í</w:t>
      </w:r>
      <w:r w:rsidR="00F771EF" w:rsidRPr="007449E4">
        <w:rPr>
          <w:rFonts w:asciiTheme="minorHAnsi" w:eastAsia="Times New Roman" w:hAnsiTheme="minorHAnsi" w:cs="Arial"/>
        </w:rPr>
        <w:t xml:space="preserve"> hranice příjmů pro jejich uplatnění ze dvou milionů na jeden milion korun</w:t>
      </w:r>
      <w:r w:rsidR="007E111D">
        <w:rPr>
          <w:rFonts w:asciiTheme="minorHAnsi" w:eastAsia="Times New Roman" w:hAnsiTheme="minorHAnsi" w:cs="Arial"/>
        </w:rPr>
        <w:t>:</w:t>
      </w:r>
    </w:p>
    <w:p w:rsidR="0023777C" w:rsidRPr="007449E4" w:rsidRDefault="0023777C" w:rsidP="007449E4">
      <w:pPr>
        <w:jc w:val="both"/>
        <w:rPr>
          <w:rFonts w:asciiTheme="minorHAnsi" w:eastAsia="Times New Roman" w:hAnsiTheme="minorHAnsi" w:cs="Arial"/>
        </w:rPr>
      </w:pPr>
    </w:p>
    <w:p w:rsidR="00344495" w:rsidRPr="007449E4" w:rsidRDefault="00344495" w:rsidP="007449E4">
      <w:pPr>
        <w:numPr>
          <w:ilvl w:val="0"/>
          <w:numId w:val="28"/>
        </w:numPr>
        <w:jc w:val="both"/>
        <w:rPr>
          <w:rFonts w:asciiTheme="minorHAnsi" w:eastAsia="Times New Roman" w:hAnsiTheme="minorHAnsi" w:cs="Arial"/>
        </w:rPr>
      </w:pPr>
      <w:r w:rsidRPr="007449E4">
        <w:rPr>
          <w:rFonts w:asciiTheme="minorHAnsi" w:eastAsia="Times New Roman" w:hAnsiTheme="minorHAnsi" w:cs="Arial"/>
          <w:b/>
          <w:bCs/>
        </w:rPr>
        <w:t>paušál 80 %</w:t>
      </w:r>
      <w:r w:rsidRPr="007449E4">
        <w:rPr>
          <w:rFonts w:asciiTheme="minorHAnsi" w:eastAsia="Times New Roman" w:hAnsiTheme="minorHAnsi" w:cs="Arial"/>
        </w:rPr>
        <w:t xml:space="preserve"> (zemědělské podnikání, řemeslná živnost) – </w:t>
      </w:r>
      <w:r w:rsidRPr="007449E4">
        <w:rPr>
          <w:rFonts w:asciiTheme="minorHAnsi" w:eastAsia="Times New Roman" w:hAnsiTheme="minorHAnsi" w:cs="Arial"/>
          <w:b/>
          <w:bCs/>
        </w:rPr>
        <w:t>maximální výdaj 800 000 Kč</w:t>
      </w:r>
      <w:r w:rsidR="0023777C" w:rsidRPr="002820C2">
        <w:rPr>
          <w:rFonts w:asciiTheme="minorHAnsi" w:hAnsiTheme="minorHAnsi" w:cs="MyriadPro-Regular"/>
          <w:lang w:eastAsia="en-US"/>
        </w:rPr>
        <w:t>;</w:t>
      </w:r>
    </w:p>
    <w:p w:rsidR="00344495" w:rsidRPr="007449E4" w:rsidRDefault="00344495" w:rsidP="007449E4">
      <w:pPr>
        <w:numPr>
          <w:ilvl w:val="0"/>
          <w:numId w:val="28"/>
        </w:numPr>
        <w:jc w:val="both"/>
        <w:rPr>
          <w:rFonts w:asciiTheme="minorHAnsi" w:eastAsia="Times New Roman" w:hAnsiTheme="minorHAnsi" w:cs="Arial"/>
        </w:rPr>
      </w:pPr>
      <w:r w:rsidRPr="007449E4">
        <w:rPr>
          <w:rFonts w:asciiTheme="minorHAnsi" w:eastAsia="Times New Roman" w:hAnsiTheme="minorHAnsi" w:cs="Arial"/>
          <w:b/>
          <w:bCs/>
        </w:rPr>
        <w:t>paušál 60 %</w:t>
      </w:r>
      <w:r w:rsidRPr="007449E4">
        <w:rPr>
          <w:rFonts w:asciiTheme="minorHAnsi" w:eastAsia="Times New Roman" w:hAnsiTheme="minorHAnsi" w:cs="Arial"/>
        </w:rPr>
        <w:t xml:space="preserve"> (ostatní živnosti kromě řemeslné) – </w:t>
      </w:r>
      <w:r w:rsidRPr="007449E4">
        <w:rPr>
          <w:rFonts w:asciiTheme="minorHAnsi" w:eastAsia="Times New Roman" w:hAnsiTheme="minorHAnsi" w:cs="Arial"/>
          <w:b/>
          <w:bCs/>
        </w:rPr>
        <w:t>maximální výdaj 600 000 Kč</w:t>
      </w:r>
      <w:r w:rsidR="0023777C" w:rsidRPr="002820C2">
        <w:rPr>
          <w:rFonts w:asciiTheme="minorHAnsi" w:hAnsiTheme="minorHAnsi" w:cs="MyriadPro-Regular"/>
          <w:lang w:eastAsia="en-US"/>
        </w:rPr>
        <w:t>;</w:t>
      </w:r>
    </w:p>
    <w:p w:rsidR="00344495" w:rsidRPr="007449E4" w:rsidRDefault="00344495" w:rsidP="007449E4">
      <w:pPr>
        <w:numPr>
          <w:ilvl w:val="0"/>
          <w:numId w:val="28"/>
        </w:numPr>
        <w:jc w:val="both"/>
        <w:rPr>
          <w:rFonts w:asciiTheme="minorHAnsi" w:eastAsia="Times New Roman" w:hAnsiTheme="minorHAnsi" w:cs="Arial"/>
        </w:rPr>
      </w:pPr>
      <w:r w:rsidRPr="007449E4">
        <w:rPr>
          <w:rFonts w:asciiTheme="minorHAnsi" w:eastAsia="Times New Roman" w:hAnsiTheme="minorHAnsi" w:cs="Arial"/>
          <w:b/>
          <w:bCs/>
        </w:rPr>
        <w:t>paušál 40 %</w:t>
      </w:r>
      <w:r w:rsidRPr="007449E4">
        <w:rPr>
          <w:rFonts w:asciiTheme="minorHAnsi" w:eastAsia="Times New Roman" w:hAnsiTheme="minorHAnsi" w:cs="Arial"/>
        </w:rPr>
        <w:t xml:space="preserve"> (ostatní podnikání) – </w:t>
      </w:r>
      <w:r w:rsidRPr="007449E4">
        <w:rPr>
          <w:rFonts w:asciiTheme="minorHAnsi" w:eastAsia="Times New Roman" w:hAnsiTheme="minorHAnsi" w:cs="Arial"/>
          <w:b/>
          <w:bCs/>
        </w:rPr>
        <w:t>maximální výdaj 400 000 Kč</w:t>
      </w:r>
      <w:r w:rsidR="0023777C" w:rsidRPr="002820C2">
        <w:rPr>
          <w:rFonts w:asciiTheme="minorHAnsi" w:hAnsiTheme="minorHAnsi" w:cs="MyriadPro-Regular"/>
          <w:lang w:eastAsia="en-US"/>
        </w:rPr>
        <w:t>;</w:t>
      </w:r>
    </w:p>
    <w:p w:rsidR="007449E4" w:rsidRDefault="00344495" w:rsidP="007449E4">
      <w:pPr>
        <w:numPr>
          <w:ilvl w:val="0"/>
          <w:numId w:val="28"/>
        </w:numPr>
        <w:jc w:val="both"/>
        <w:rPr>
          <w:rFonts w:asciiTheme="minorHAnsi" w:eastAsia="Times New Roman" w:hAnsiTheme="minorHAnsi" w:cs="Arial"/>
        </w:rPr>
      </w:pPr>
      <w:r w:rsidRPr="007449E4">
        <w:rPr>
          <w:rFonts w:asciiTheme="minorHAnsi" w:eastAsia="Times New Roman" w:hAnsiTheme="minorHAnsi" w:cs="Arial"/>
          <w:b/>
          <w:bCs/>
        </w:rPr>
        <w:t>paušál 30 %</w:t>
      </w:r>
      <w:r w:rsidRPr="007449E4">
        <w:rPr>
          <w:rFonts w:asciiTheme="minorHAnsi" w:eastAsia="Times New Roman" w:hAnsiTheme="minorHAnsi" w:cs="Arial"/>
        </w:rPr>
        <w:t xml:space="preserve"> (příjmy z nájmu obchodního majetku dle § 7, příjmy z nájmu dle § 9) – </w:t>
      </w:r>
      <w:r w:rsidRPr="007449E4">
        <w:rPr>
          <w:rFonts w:asciiTheme="minorHAnsi" w:eastAsia="Times New Roman" w:hAnsiTheme="minorHAnsi" w:cs="Arial"/>
          <w:b/>
          <w:bCs/>
        </w:rPr>
        <w:t>maximální výdaj 300 000 Kč</w:t>
      </w:r>
      <w:r w:rsidRPr="007449E4">
        <w:rPr>
          <w:rFonts w:asciiTheme="minorHAnsi" w:eastAsia="Times New Roman" w:hAnsiTheme="minorHAnsi" w:cs="Arial"/>
        </w:rPr>
        <w:t>.</w:t>
      </w:r>
    </w:p>
    <w:p w:rsidR="007449E4" w:rsidRPr="007449E4" w:rsidRDefault="007449E4" w:rsidP="007449E4">
      <w:pPr>
        <w:ind w:left="720"/>
        <w:jc w:val="both"/>
        <w:rPr>
          <w:rFonts w:asciiTheme="minorHAnsi" w:eastAsia="Times New Roman" w:hAnsiTheme="minorHAnsi" w:cs="Arial"/>
        </w:rPr>
      </w:pPr>
    </w:p>
    <w:p w:rsidR="00BF6DAA" w:rsidRPr="007449E4" w:rsidRDefault="00344495" w:rsidP="007449E4">
      <w:pPr>
        <w:jc w:val="both"/>
        <w:rPr>
          <w:rFonts w:asciiTheme="minorHAnsi" w:eastAsia="Times New Roman" w:hAnsiTheme="minorHAnsi" w:cs="Arial"/>
        </w:rPr>
      </w:pPr>
      <w:r w:rsidRPr="007449E4">
        <w:rPr>
          <w:rFonts w:asciiTheme="minorHAnsi" w:eastAsia="Times New Roman" w:hAnsiTheme="minorHAnsi" w:cs="Arial"/>
          <w:bCs/>
        </w:rPr>
        <w:t>Za rok 2017 si ještě bude moci poplatník zvolit</w:t>
      </w:r>
      <w:r w:rsidRPr="007449E4">
        <w:rPr>
          <w:rFonts w:asciiTheme="minorHAnsi" w:eastAsia="Times New Roman" w:hAnsiTheme="minorHAnsi" w:cs="Arial"/>
        </w:rPr>
        <w:t>, zda si vybere úpravu pro rok 2016, tj. vyšší paušální výdaje bez možnosti slevy na manžela/ku a dítě, nebo úpravu pro rok 2018, tj. nižší paušální výdaje a možnost odečtu slevy na manžela/ku a daňového zvýhodnění na dítě.</w:t>
      </w:r>
    </w:p>
    <w:p w:rsidR="008112CD" w:rsidRDefault="008112CD" w:rsidP="00C108F3">
      <w:pPr>
        <w:jc w:val="both"/>
        <w:rPr>
          <w:rFonts w:asciiTheme="minorHAnsi" w:eastAsia="Times New Roman" w:hAnsiTheme="minorHAnsi" w:cs="Arial"/>
        </w:rPr>
      </w:pPr>
      <w:bookmarkStart w:id="1" w:name="_Hlk498888417"/>
    </w:p>
    <w:p w:rsidR="008D78FF" w:rsidRPr="008112CD" w:rsidRDefault="003E517B" w:rsidP="008112CD">
      <w:pPr>
        <w:pStyle w:val="Odstavecseseznamem"/>
        <w:numPr>
          <w:ilvl w:val="0"/>
          <w:numId w:val="40"/>
        </w:numPr>
        <w:jc w:val="both"/>
        <w:rPr>
          <w:rFonts w:asciiTheme="minorHAnsi" w:hAnsiTheme="minorHAnsi" w:cs="Arial"/>
          <w:b/>
          <w:sz w:val="24"/>
          <w:szCs w:val="24"/>
          <w:u w:val="single"/>
        </w:rPr>
      </w:pPr>
      <w:r>
        <w:rPr>
          <w:rFonts w:asciiTheme="minorHAnsi" w:hAnsiTheme="minorHAnsi" w:cs="Arial"/>
          <w:b/>
          <w:sz w:val="24"/>
          <w:szCs w:val="24"/>
          <w:u w:val="single"/>
        </w:rPr>
        <w:t>Vyšší daňové zvýhodnění na děti</w:t>
      </w:r>
    </w:p>
    <w:p w:rsidR="008112CD" w:rsidRDefault="008112CD" w:rsidP="00C108F3">
      <w:pPr>
        <w:jc w:val="both"/>
        <w:rPr>
          <w:rFonts w:asciiTheme="minorHAnsi" w:hAnsiTheme="minorHAnsi" w:cs="Arial"/>
          <w:b/>
          <w:sz w:val="24"/>
          <w:szCs w:val="24"/>
          <w:u w:val="single"/>
        </w:rPr>
      </w:pPr>
    </w:p>
    <w:p w:rsidR="008D78FF" w:rsidRPr="007449E4" w:rsidRDefault="008D78FF" w:rsidP="007449E4">
      <w:pPr>
        <w:jc w:val="both"/>
        <w:rPr>
          <w:rFonts w:asciiTheme="minorHAnsi" w:hAnsiTheme="minorHAnsi" w:cs="Arial"/>
        </w:rPr>
      </w:pPr>
      <w:r w:rsidRPr="007449E4">
        <w:rPr>
          <w:rFonts w:asciiTheme="minorHAnsi" w:hAnsiTheme="minorHAnsi" w:cs="Arial"/>
        </w:rPr>
        <w:t xml:space="preserve">Pro přiznání za rok </w:t>
      </w:r>
      <w:r w:rsidR="00094B62" w:rsidRPr="007449E4">
        <w:rPr>
          <w:rFonts w:asciiTheme="minorHAnsi" w:hAnsiTheme="minorHAnsi" w:cs="Arial"/>
        </w:rPr>
        <w:t xml:space="preserve">2017 </w:t>
      </w:r>
      <w:r w:rsidRPr="007449E4">
        <w:rPr>
          <w:rFonts w:asciiTheme="minorHAnsi" w:hAnsiTheme="minorHAnsi" w:cs="Arial"/>
        </w:rPr>
        <w:t xml:space="preserve">platí </w:t>
      </w:r>
      <w:r w:rsidR="00094B62" w:rsidRPr="007449E4">
        <w:rPr>
          <w:rFonts w:asciiTheme="minorHAnsi" w:hAnsiTheme="minorHAnsi" w:cs="Arial"/>
        </w:rPr>
        <w:t xml:space="preserve">daňové zvýhodnění na druhé, třetí a další vyživované dítě. Konkrétně je to o 200 </w:t>
      </w:r>
      <w:r w:rsidR="007E38B1">
        <w:rPr>
          <w:rFonts w:asciiTheme="minorHAnsi" w:hAnsiTheme="minorHAnsi" w:cs="Arial"/>
        </w:rPr>
        <w:t>Kč</w:t>
      </w:r>
      <w:r w:rsidR="00094B62" w:rsidRPr="007449E4">
        <w:rPr>
          <w:rFonts w:asciiTheme="minorHAnsi" w:hAnsiTheme="minorHAnsi" w:cs="Arial"/>
        </w:rPr>
        <w:t xml:space="preserve"> měsíčně více na druhé </w:t>
      </w:r>
      <w:r w:rsidR="00094B62" w:rsidRPr="00F00D76">
        <w:rPr>
          <w:rFonts w:asciiTheme="minorHAnsi" w:hAnsiTheme="minorHAnsi" w:cs="Arial"/>
        </w:rPr>
        <w:t>dítě, tedy 2</w:t>
      </w:r>
      <w:r w:rsidR="00085D69" w:rsidRPr="00F00D76">
        <w:rPr>
          <w:rFonts w:asciiTheme="minorHAnsi" w:hAnsiTheme="minorHAnsi" w:cs="Arial"/>
        </w:rPr>
        <w:t xml:space="preserve"> </w:t>
      </w:r>
      <w:r w:rsidR="00094B62" w:rsidRPr="00F00D76">
        <w:rPr>
          <w:rFonts w:asciiTheme="minorHAnsi" w:hAnsiTheme="minorHAnsi" w:cs="Arial"/>
        </w:rPr>
        <w:t xml:space="preserve">400 korun ročně, a na třetí a každé další dítě o 300 </w:t>
      </w:r>
      <w:r w:rsidR="007E38B1" w:rsidRPr="00F00D76">
        <w:rPr>
          <w:rFonts w:asciiTheme="minorHAnsi" w:hAnsiTheme="minorHAnsi" w:cs="Arial"/>
        </w:rPr>
        <w:t xml:space="preserve">Kč </w:t>
      </w:r>
      <w:r w:rsidR="00094B62" w:rsidRPr="00F00D76">
        <w:rPr>
          <w:rFonts w:asciiTheme="minorHAnsi" w:hAnsiTheme="minorHAnsi" w:cs="Arial"/>
        </w:rPr>
        <w:t xml:space="preserve">měsíčně více, </w:t>
      </w:r>
      <w:r w:rsidR="007449E4" w:rsidRPr="00F00D76">
        <w:rPr>
          <w:rFonts w:asciiTheme="minorHAnsi" w:hAnsiTheme="minorHAnsi" w:cs="Arial"/>
        </w:rPr>
        <w:t>což je</w:t>
      </w:r>
      <w:r w:rsidR="00094B62" w:rsidRPr="00F00D76">
        <w:rPr>
          <w:rFonts w:asciiTheme="minorHAnsi" w:hAnsiTheme="minorHAnsi" w:cs="Arial"/>
        </w:rPr>
        <w:t xml:space="preserve"> o 3</w:t>
      </w:r>
      <w:r w:rsidR="00085D69" w:rsidRPr="00F00D76">
        <w:rPr>
          <w:rFonts w:asciiTheme="minorHAnsi" w:hAnsiTheme="minorHAnsi" w:cs="Arial"/>
        </w:rPr>
        <w:t xml:space="preserve"> </w:t>
      </w:r>
      <w:r w:rsidR="00094B62" w:rsidRPr="00F00D76">
        <w:rPr>
          <w:rFonts w:asciiTheme="minorHAnsi" w:hAnsiTheme="minorHAnsi" w:cs="Arial"/>
        </w:rPr>
        <w:t xml:space="preserve">600 </w:t>
      </w:r>
      <w:r w:rsidR="007E38B1" w:rsidRPr="00F00D76">
        <w:rPr>
          <w:rFonts w:asciiTheme="minorHAnsi" w:hAnsiTheme="minorHAnsi" w:cs="Arial"/>
        </w:rPr>
        <w:t>Kč</w:t>
      </w:r>
      <w:r w:rsidR="00094B62" w:rsidRPr="00F00D76">
        <w:rPr>
          <w:rFonts w:asciiTheme="minorHAnsi" w:hAnsiTheme="minorHAnsi" w:cs="Arial"/>
        </w:rPr>
        <w:t xml:space="preserve"> ročně</w:t>
      </w:r>
      <w:r w:rsidR="00F00D76" w:rsidRPr="00F00D76">
        <w:rPr>
          <w:rFonts w:asciiTheme="minorHAnsi" w:hAnsiTheme="minorHAnsi" w:cs="Arial"/>
        </w:rPr>
        <w:t xml:space="preserve"> více</w:t>
      </w:r>
      <w:r w:rsidR="00094B62" w:rsidRPr="00F00D76">
        <w:rPr>
          <w:rFonts w:asciiTheme="minorHAnsi" w:hAnsiTheme="minorHAnsi" w:cs="Arial"/>
        </w:rPr>
        <w:t xml:space="preserve"> než v</w:t>
      </w:r>
      <w:r w:rsidR="007449E4" w:rsidRPr="00F00D76">
        <w:rPr>
          <w:rFonts w:asciiTheme="minorHAnsi" w:hAnsiTheme="minorHAnsi" w:cs="Arial"/>
        </w:rPr>
        <w:t xml:space="preserve"> předcházejícím </w:t>
      </w:r>
      <w:r w:rsidR="00094B62" w:rsidRPr="00F00D76">
        <w:rPr>
          <w:rFonts w:asciiTheme="minorHAnsi" w:hAnsiTheme="minorHAnsi" w:cs="Arial"/>
        </w:rPr>
        <w:t>roce.</w:t>
      </w:r>
      <w:r w:rsidR="007449E4" w:rsidRPr="00F00D76">
        <w:rPr>
          <w:rFonts w:asciiTheme="minorHAnsi" w:hAnsiTheme="minorHAnsi" w:cs="Arial"/>
        </w:rPr>
        <w:t xml:space="preserve"> </w:t>
      </w:r>
      <w:r w:rsidRPr="00F00D76">
        <w:rPr>
          <w:rFonts w:asciiTheme="minorHAnsi" w:hAnsiTheme="minorHAnsi" w:cs="MyriadPro-Regular"/>
          <w:lang w:eastAsia="en-US"/>
        </w:rPr>
        <w:t>Zvýšení</w:t>
      </w:r>
      <w:r w:rsidRPr="007449E4">
        <w:rPr>
          <w:rFonts w:asciiTheme="minorHAnsi" w:hAnsiTheme="minorHAnsi" w:cs="MyriadPro-Regular"/>
          <w:lang w:eastAsia="en-US"/>
        </w:rPr>
        <w:t xml:space="preserve"> daňového zvýhodnění </w:t>
      </w:r>
      <w:r w:rsidR="007449E4">
        <w:rPr>
          <w:rFonts w:asciiTheme="minorHAnsi" w:hAnsiTheme="minorHAnsi" w:cs="MyriadPro-Regular"/>
          <w:lang w:eastAsia="en-US"/>
        </w:rPr>
        <w:t xml:space="preserve">tedy bude </w:t>
      </w:r>
      <w:r w:rsidRPr="007449E4">
        <w:rPr>
          <w:rFonts w:asciiTheme="minorHAnsi" w:hAnsiTheme="minorHAnsi" w:cs="MyriadPro-Regular"/>
          <w:lang w:eastAsia="en-US"/>
        </w:rPr>
        <w:t xml:space="preserve">na druhé vyživované dítě z částky 17 004 Kč ročně na částku </w:t>
      </w:r>
      <w:r w:rsidRPr="007449E4">
        <w:rPr>
          <w:rFonts w:asciiTheme="minorHAnsi" w:hAnsiTheme="minorHAnsi" w:cs="MyriadPro-Bold"/>
          <w:b/>
          <w:bCs/>
          <w:lang w:eastAsia="en-US"/>
        </w:rPr>
        <w:t>19 404 Kč</w:t>
      </w:r>
      <w:r w:rsidRPr="007449E4">
        <w:rPr>
          <w:rFonts w:asciiTheme="minorHAnsi" w:hAnsiTheme="minorHAnsi" w:cs="MyriadPro-Regular"/>
          <w:lang w:eastAsia="en-US"/>
        </w:rPr>
        <w:t>, na třetí</w:t>
      </w:r>
      <w:r w:rsidR="007449E4">
        <w:rPr>
          <w:rFonts w:asciiTheme="minorHAnsi" w:hAnsiTheme="minorHAnsi" w:cs="MyriadPro-Regular"/>
          <w:lang w:eastAsia="en-US"/>
        </w:rPr>
        <w:t xml:space="preserve"> </w:t>
      </w:r>
      <w:r w:rsidRPr="007449E4">
        <w:rPr>
          <w:rFonts w:asciiTheme="minorHAnsi" w:hAnsiTheme="minorHAnsi" w:cs="MyriadPro-Regular"/>
          <w:lang w:eastAsia="en-US"/>
        </w:rPr>
        <w:t xml:space="preserve">a každé další vyživované dítě z částky 20 604 Kč ročně na částku </w:t>
      </w:r>
      <w:r w:rsidRPr="007449E4">
        <w:rPr>
          <w:rFonts w:asciiTheme="minorHAnsi" w:hAnsiTheme="minorHAnsi" w:cs="MyriadPro-Bold"/>
          <w:b/>
          <w:bCs/>
          <w:lang w:eastAsia="en-US"/>
        </w:rPr>
        <w:t>24 204 Kč</w:t>
      </w:r>
      <w:r w:rsidRPr="007449E4">
        <w:rPr>
          <w:rFonts w:asciiTheme="minorHAnsi" w:hAnsiTheme="minorHAnsi" w:cs="MyriadPro-Regular"/>
          <w:lang w:eastAsia="en-US"/>
        </w:rPr>
        <w:t>.</w:t>
      </w:r>
    </w:p>
    <w:p w:rsidR="00094B62" w:rsidRDefault="00094B62" w:rsidP="00C108F3">
      <w:pPr>
        <w:jc w:val="both"/>
        <w:rPr>
          <w:rFonts w:asciiTheme="minorHAnsi" w:hAnsiTheme="minorHAnsi"/>
          <w:b/>
        </w:rPr>
      </w:pPr>
    </w:p>
    <w:p w:rsidR="007449E4" w:rsidRPr="008112CD" w:rsidRDefault="005A70F3" w:rsidP="008112CD">
      <w:pPr>
        <w:pStyle w:val="Odstavecseseznamem"/>
        <w:numPr>
          <w:ilvl w:val="0"/>
          <w:numId w:val="40"/>
        </w:numPr>
        <w:jc w:val="both"/>
        <w:rPr>
          <w:rFonts w:asciiTheme="minorHAnsi" w:hAnsiTheme="minorHAnsi"/>
          <w:b/>
          <w:sz w:val="24"/>
          <w:szCs w:val="24"/>
          <w:u w:val="single"/>
        </w:rPr>
      </w:pPr>
      <w:r w:rsidRPr="008112CD">
        <w:rPr>
          <w:rFonts w:asciiTheme="minorHAnsi" w:hAnsiTheme="minorHAnsi"/>
          <w:b/>
          <w:sz w:val="24"/>
          <w:szCs w:val="24"/>
          <w:u w:val="single"/>
        </w:rPr>
        <w:t xml:space="preserve">Rozšíření možnosti odpočtu na dítě a nepracující manželku/manžela </w:t>
      </w:r>
    </w:p>
    <w:p w:rsidR="007E38B1" w:rsidRPr="007449E4" w:rsidRDefault="007E38B1" w:rsidP="00C108F3">
      <w:pPr>
        <w:jc w:val="both"/>
        <w:rPr>
          <w:rFonts w:asciiTheme="minorHAnsi" w:eastAsia="Times New Roman" w:hAnsiTheme="minorHAnsi" w:cs="Arial"/>
          <w:color w:val="FF0000"/>
          <w:sz w:val="24"/>
          <w:szCs w:val="24"/>
          <w:u w:val="single"/>
        </w:rPr>
      </w:pPr>
    </w:p>
    <w:bookmarkEnd w:id="1"/>
    <w:p w:rsidR="00BF6DAA" w:rsidRPr="007449E4" w:rsidRDefault="00BF6DAA" w:rsidP="007449E4">
      <w:pPr>
        <w:jc w:val="both"/>
        <w:rPr>
          <w:rFonts w:asciiTheme="minorHAnsi" w:hAnsiTheme="minorHAnsi" w:cs="Arial"/>
        </w:rPr>
      </w:pPr>
      <w:r w:rsidRPr="007449E4">
        <w:rPr>
          <w:rFonts w:asciiTheme="minorHAnsi" w:hAnsiTheme="minorHAnsi" w:cs="Arial"/>
        </w:rPr>
        <w:t xml:space="preserve">Nově vzniká </w:t>
      </w:r>
      <w:r w:rsidR="00EA39F0" w:rsidRPr="007449E4">
        <w:rPr>
          <w:rFonts w:asciiTheme="minorHAnsi" w:hAnsiTheme="minorHAnsi" w:cs="Arial"/>
          <w:b/>
        </w:rPr>
        <w:t>nárok na slevu na dítě a vyživovanou manželku i pro OSVČ uplatňující výdajový paušál</w:t>
      </w:r>
      <w:r w:rsidR="00EA39F0" w:rsidRPr="007449E4">
        <w:rPr>
          <w:rFonts w:asciiTheme="minorHAnsi" w:hAnsiTheme="minorHAnsi" w:cs="Arial"/>
        </w:rPr>
        <w:t xml:space="preserve"> </w:t>
      </w:r>
      <w:r w:rsidR="00EA39F0" w:rsidRPr="007449E4">
        <w:rPr>
          <w:rStyle w:val="rs-note"/>
          <w:rFonts w:asciiTheme="minorHAnsi" w:hAnsiTheme="minorHAnsi" w:cs="Arial"/>
        </w:rPr>
        <w:t>(přesněji i za situace, kdy daňový základ z podnikání či pronájmu přesahuje 50 % celkového daňového základu)</w:t>
      </w:r>
      <w:r w:rsidR="00EA39F0" w:rsidRPr="007449E4">
        <w:rPr>
          <w:rFonts w:asciiTheme="minorHAnsi" w:hAnsiTheme="minorHAnsi" w:cs="Arial"/>
        </w:rPr>
        <w:t>.</w:t>
      </w:r>
      <w:r w:rsidR="00344495" w:rsidRPr="007449E4">
        <w:rPr>
          <w:rFonts w:asciiTheme="minorHAnsi" w:hAnsiTheme="minorHAnsi" w:cs="Arial"/>
        </w:rPr>
        <w:t xml:space="preserve"> </w:t>
      </w:r>
      <w:r w:rsidRPr="007449E4">
        <w:rPr>
          <w:rFonts w:asciiTheme="minorHAnsi" w:hAnsiTheme="minorHAnsi" w:cs="Arial"/>
        </w:rPr>
        <w:t>Za rok 2017 budou mít podnikatelé ještě možnost volby. Pokud se OSVČ rozhodnou daňovou slevu na manželku a zvýhodnění na děti nevyužít, budou si moci v daňovém přiznání za rok 2017 ještě počítat výdajový paušál z ročního maximálního příjmu ve výši 2 </w:t>
      </w:r>
      <w:r w:rsidR="007449E4">
        <w:rPr>
          <w:rFonts w:asciiTheme="minorHAnsi" w:hAnsiTheme="minorHAnsi" w:cs="Arial"/>
        </w:rPr>
        <w:t>mil</w:t>
      </w:r>
      <w:r w:rsidR="00A10C96">
        <w:rPr>
          <w:rFonts w:asciiTheme="minorHAnsi" w:hAnsiTheme="minorHAnsi" w:cs="Arial"/>
        </w:rPr>
        <w:t>.</w:t>
      </w:r>
      <w:r w:rsidRPr="007449E4">
        <w:rPr>
          <w:rFonts w:asciiTheme="minorHAnsi" w:hAnsiTheme="minorHAnsi" w:cs="Arial"/>
        </w:rPr>
        <w:t> </w:t>
      </w:r>
      <w:hyperlink r:id="rId7" w:tooltip="Aktuální kurzy měn, kurzovní lístky, grafy a tendence kurzů, kurzovní zpravodajství" w:history="1">
        <w:r w:rsidRPr="007449E4">
          <w:rPr>
            <w:rStyle w:val="Hypertextovodkaz"/>
            <w:rFonts w:asciiTheme="minorHAnsi" w:hAnsiTheme="minorHAnsi" w:cs="Arial"/>
            <w:color w:val="auto"/>
            <w:u w:val="none"/>
          </w:rPr>
          <w:t>Kč</w:t>
        </w:r>
      </w:hyperlink>
      <w:r w:rsidRPr="007449E4">
        <w:rPr>
          <w:rFonts w:asciiTheme="minorHAnsi" w:hAnsiTheme="minorHAnsi" w:cs="Arial"/>
        </w:rPr>
        <w:t xml:space="preserve">. Buď tedy neuplatní nárok na daňové slevy, ale využijí ještě původní vyšší limity, nebo už budou moci přejít na nová pravidla. Od roku 2018 už si </w:t>
      </w:r>
      <w:r w:rsidR="007E38B1">
        <w:rPr>
          <w:rFonts w:asciiTheme="minorHAnsi" w:hAnsiTheme="minorHAnsi" w:cs="Arial"/>
        </w:rPr>
        <w:t xml:space="preserve">podnikatelé </w:t>
      </w:r>
      <w:r w:rsidRPr="007449E4">
        <w:rPr>
          <w:rFonts w:asciiTheme="minorHAnsi" w:hAnsiTheme="minorHAnsi" w:cs="Arial"/>
        </w:rPr>
        <w:t>vybrat nemohou, budou platit pouze nová pravidla s nižšími limity a možností slevy uplatnit.</w:t>
      </w:r>
    </w:p>
    <w:p w:rsidR="007E38B1" w:rsidRPr="008112CD" w:rsidRDefault="005A70F3" w:rsidP="008112CD">
      <w:pPr>
        <w:pStyle w:val="Odstavecseseznamem"/>
        <w:numPr>
          <w:ilvl w:val="0"/>
          <w:numId w:val="40"/>
        </w:numPr>
        <w:spacing w:before="100" w:beforeAutospacing="1" w:after="100" w:afterAutospacing="1"/>
        <w:jc w:val="both"/>
        <w:rPr>
          <w:rFonts w:asciiTheme="minorHAnsi" w:hAnsiTheme="minorHAnsi"/>
          <w:b/>
          <w:sz w:val="24"/>
          <w:szCs w:val="24"/>
          <w:u w:val="single"/>
        </w:rPr>
      </w:pPr>
      <w:r w:rsidRPr="008112CD">
        <w:rPr>
          <w:rFonts w:asciiTheme="minorHAnsi" w:hAnsiTheme="minorHAnsi"/>
          <w:b/>
          <w:sz w:val="24"/>
          <w:szCs w:val="24"/>
          <w:u w:val="single"/>
        </w:rPr>
        <w:t>Rozšíření elektronického podávání přiznání</w:t>
      </w:r>
      <w:r w:rsidR="00281A02" w:rsidRPr="008112CD">
        <w:rPr>
          <w:rFonts w:asciiTheme="minorHAnsi" w:hAnsiTheme="minorHAnsi"/>
          <w:b/>
          <w:sz w:val="24"/>
          <w:szCs w:val="24"/>
          <w:u w:val="single"/>
        </w:rPr>
        <w:t xml:space="preserve"> </w:t>
      </w:r>
    </w:p>
    <w:p w:rsidR="00C108F3" w:rsidRPr="007E38B1" w:rsidRDefault="00334076" w:rsidP="007E38B1">
      <w:pPr>
        <w:jc w:val="both"/>
        <w:rPr>
          <w:rFonts w:asciiTheme="minorHAnsi" w:hAnsiTheme="minorHAnsi" w:cs="Arial"/>
        </w:rPr>
      </w:pPr>
      <w:r w:rsidRPr="007E38B1">
        <w:rPr>
          <w:rFonts w:asciiTheme="minorHAnsi" w:hAnsiTheme="minorHAnsi" w:cs="Arial"/>
        </w:rPr>
        <w:t>Od příštího zdaňovacího období budou moct zaměstnanci překládat a činit (tedy podepisovat)</w:t>
      </w:r>
      <w:r w:rsidR="00837AC7">
        <w:rPr>
          <w:rFonts w:asciiTheme="minorHAnsi" w:hAnsiTheme="minorHAnsi" w:cs="Arial"/>
        </w:rPr>
        <w:t xml:space="preserve"> </w:t>
      </w:r>
      <w:r w:rsidRPr="007E38B1">
        <w:rPr>
          <w:rFonts w:asciiTheme="minorHAnsi" w:hAnsiTheme="minorHAnsi" w:cs="Arial"/>
        </w:rPr>
        <w:t xml:space="preserve">Prohlášení k dani i v elektronické formě. Aby tak ale mohli pracovníci učinit, </w:t>
      </w:r>
      <w:r w:rsidRPr="007E38B1">
        <w:rPr>
          <w:rFonts w:asciiTheme="minorHAnsi" w:hAnsiTheme="minorHAnsi" w:cs="Arial"/>
          <w:b/>
        </w:rPr>
        <w:t>musí zaměstnavatel zajistit jednoznačnou identifikaci konkrétního zaměstnance</w:t>
      </w:r>
      <w:r w:rsidRPr="007E38B1">
        <w:rPr>
          <w:rFonts w:asciiTheme="minorHAnsi" w:hAnsiTheme="minorHAnsi" w:cs="Arial"/>
        </w:rPr>
        <w:t xml:space="preserve">. Od roku 2018 tak bude na rozhodnutí podnikatelů, jakou formu prohlášení k dani u svých zaměstnanců zvolí, zda listinnou či elektronickou. Případně lze obě uvedené formy kombinovat. Bude třeba, aby podnikatelé v případě vedení elektronické mzdové agendy i pro tuto oblast stanovili, např. vnitřním předpisem organizace, podmínky, za kterých je možné elektronicky učinit prohlášení k dani. </w:t>
      </w:r>
    </w:p>
    <w:p w:rsidR="002413CA" w:rsidRDefault="002413CA" w:rsidP="00334076">
      <w:pPr>
        <w:spacing w:before="100" w:beforeAutospacing="1" w:after="100" w:afterAutospacing="1"/>
        <w:jc w:val="both"/>
        <w:rPr>
          <w:rFonts w:asciiTheme="minorHAnsi" w:hAnsiTheme="minorHAnsi"/>
          <w:b/>
          <w:sz w:val="24"/>
          <w:szCs w:val="24"/>
          <w:u w:val="single"/>
        </w:rPr>
      </w:pPr>
    </w:p>
    <w:p w:rsidR="00334076" w:rsidRPr="008112CD" w:rsidRDefault="007E38B1" w:rsidP="008112CD">
      <w:pPr>
        <w:pStyle w:val="Odstavecseseznamem"/>
        <w:numPr>
          <w:ilvl w:val="0"/>
          <w:numId w:val="40"/>
        </w:numPr>
        <w:spacing w:before="100" w:beforeAutospacing="1" w:after="100" w:afterAutospacing="1"/>
        <w:jc w:val="both"/>
        <w:rPr>
          <w:rFonts w:asciiTheme="minorHAnsi" w:hAnsiTheme="minorHAnsi"/>
          <w:color w:val="FF0000"/>
          <w:sz w:val="24"/>
          <w:szCs w:val="24"/>
          <w:u w:val="single"/>
        </w:rPr>
      </w:pPr>
      <w:r w:rsidRPr="008112CD">
        <w:rPr>
          <w:rFonts w:asciiTheme="minorHAnsi" w:hAnsiTheme="minorHAnsi"/>
          <w:b/>
          <w:sz w:val="24"/>
          <w:szCs w:val="24"/>
          <w:u w:val="single"/>
        </w:rPr>
        <w:lastRenderedPageBreak/>
        <w:t>P</w:t>
      </w:r>
      <w:r w:rsidR="00334076" w:rsidRPr="008112CD">
        <w:rPr>
          <w:rFonts w:asciiTheme="minorHAnsi" w:hAnsiTheme="minorHAnsi"/>
          <w:b/>
          <w:sz w:val="24"/>
          <w:szCs w:val="24"/>
          <w:u w:val="single"/>
        </w:rPr>
        <w:t>řijímání plateb kartami</w:t>
      </w:r>
    </w:p>
    <w:p w:rsidR="00C108F3" w:rsidRPr="007E38B1" w:rsidRDefault="007E38B1" w:rsidP="007E38B1">
      <w:pPr>
        <w:jc w:val="both"/>
        <w:rPr>
          <w:rFonts w:asciiTheme="minorHAnsi" w:hAnsiTheme="minorHAnsi"/>
        </w:rPr>
      </w:pPr>
      <w:r>
        <w:rPr>
          <w:rFonts w:asciiTheme="minorHAnsi" w:hAnsiTheme="minorHAnsi" w:cs="Arial"/>
        </w:rPr>
        <w:t xml:space="preserve">Další změna se </w:t>
      </w:r>
      <w:r w:rsidR="00334076" w:rsidRPr="007E38B1">
        <w:rPr>
          <w:rFonts w:asciiTheme="minorHAnsi" w:hAnsiTheme="minorHAnsi" w:cs="Arial"/>
        </w:rPr>
        <w:t xml:space="preserve">týká </w:t>
      </w:r>
      <w:r>
        <w:rPr>
          <w:rFonts w:asciiTheme="minorHAnsi" w:hAnsiTheme="minorHAnsi" w:cs="Arial"/>
        </w:rPr>
        <w:t xml:space="preserve">rozšíření </w:t>
      </w:r>
      <w:r w:rsidR="00334076" w:rsidRPr="007E38B1">
        <w:rPr>
          <w:rFonts w:asciiTheme="minorHAnsi" w:hAnsiTheme="minorHAnsi" w:cs="Arial"/>
          <w:b/>
        </w:rPr>
        <w:t>možnosti využívání platebních karet</w:t>
      </w:r>
      <w:r w:rsidR="00334076" w:rsidRPr="007E38B1">
        <w:rPr>
          <w:rFonts w:asciiTheme="minorHAnsi" w:hAnsiTheme="minorHAnsi" w:cs="Arial"/>
        </w:rPr>
        <w:t xml:space="preserve">. </w:t>
      </w:r>
      <w:r>
        <w:rPr>
          <w:rFonts w:asciiTheme="minorHAnsi" w:hAnsiTheme="minorHAnsi" w:cs="Arial"/>
        </w:rPr>
        <w:t>P</w:t>
      </w:r>
      <w:r w:rsidR="00334076" w:rsidRPr="007E38B1">
        <w:rPr>
          <w:rFonts w:asciiTheme="minorHAnsi" w:hAnsiTheme="minorHAnsi" w:cs="Arial"/>
        </w:rPr>
        <w:t>oplatníci budou mít možnost kartou uhradit své daně, cla a jiné poplatky, pokud se konkrétní úřad rozhodne tento typ placení nabízet. Platební karty mají potenciál zejména v situacích, kdy samotné zaplacení je podmínkou dalšího postupu daňového subjektu nebo je nepraktické jej odkládat, jako například u dovozních cel nebo některých typů poplatků.</w:t>
      </w:r>
    </w:p>
    <w:p w:rsidR="00334076" w:rsidRPr="008112CD" w:rsidRDefault="00281A02" w:rsidP="008112CD">
      <w:pPr>
        <w:pStyle w:val="Odstavecseseznamem"/>
        <w:numPr>
          <w:ilvl w:val="0"/>
          <w:numId w:val="40"/>
        </w:numPr>
        <w:spacing w:before="100" w:beforeAutospacing="1" w:after="100" w:afterAutospacing="1"/>
        <w:rPr>
          <w:rFonts w:asciiTheme="minorHAnsi" w:hAnsiTheme="minorHAnsi"/>
          <w:b/>
          <w:sz w:val="24"/>
          <w:szCs w:val="24"/>
          <w:u w:val="single"/>
        </w:rPr>
      </w:pPr>
      <w:r w:rsidRPr="008112CD">
        <w:rPr>
          <w:rFonts w:asciiTheme="minorHAnsi" w:hAnsiTheme="minorHAnsi"/>
          <w:b/>
          <w:sz w:val="24"/>
          <w:szCs w:val="24"/>
          <w:u w:val="single"/>
        </w:rPr>
        <w:t xml:space="preserve">Třetí </w:t>
      </w:r>
      <w:r w:rsidR="008112CD">
        <w:rPr>
          <w:rFonts w:asciiTheme="minorHAnsi" w:hAnsiTheme="minorHAnsi"/>
          <w:b/>
          <w:sz w:val="24"/>
          <w:szCs w:val="24"/>
          <w:u w:val="single"/>
        </w:rPr>
        <w:t xml:space="preserve">a čtvrtá fáze </w:t>
      </w:r>
      <w:r w:rsidRPr="008112CD">
        <w:rPr>
          <w:rFonts w:asciiTheme="minorHAnsi" w:hAnsiTheme="minorHAnsi"/>
          <w:b/>
          <w:sz w:val="24"/>
          <w:szCs w:val="24"/>
          <w:u w:val="single"/>
        </w:rPr>
        <w:t>EET</w:t>
      </w:r>
    </w:p>
    <w:p w:rsidR="00FF5A72" w:rsidRPr="00FF5A72" w:rsidRDefault="007E38B1" w:rsidP="00FF5A72">
      <w:pPr>
        <w:jc w:val="both"/>
        <w:rPr>
          <w:rFonts w:asciiTheme="minorHAnsi" w:hAnsiTheme="minorHAnsi"/>
          <w:b/>
        </w:rPr>
      </w:pPr>
      <w:r>
        <w:rPr>
          <w:rFonts w:asciiTheme="minorHAnsi" w:hAnsiTheme="minorHAnsi"/>
        </w:rPr>
        <w:t xml:space="preserve">Ačkoliv většina parlamentních stran naznačuje, že dojde ke změnám v režimu EET, a to jak ve smyslu 3. a 4. fáze, tak ve vazbě na podnikatele již podléhající povinnosti (výjimky z 1. a 2. fáze), podle zákona o elektronické evidenci tržeb stále platí, že </w:t>
      </w:r>
      <w:r w:rsidR="00334076" w:rsidRPr="007E38B1">
        <w:rPr>
          <w:rStyle w:val="Siln"/>
          <w:rFonts w:asciiTheme="minorHAnsi" w:hAnsiTheme="minorHAnsi"/>
        </w:rPr>
        <w:t>od 1. 3. 2018</w:t>
      </w:r>
      <w:r w:rsidR="00334076" w:rsidRPr="007E38B1">
        <w:rPr>
          <w:rFonts w:asciiTheme="minorHAnsi" w:hAnsiTheme="minorHAnsi"/>
        </w:rPr>
        <w:t xml:space="preserve"> se zapojí </w:t>
      </w:r>
      <w:r>
        <w:rPr>
          <w:rFonts w:asciiTheme="minorHAnsi" w:hAnsiTheme="minorHAnsi"/>
        </w:rPr>
        <w:t xml:space="preserve">ve 3. fázi </w:t>
      </w:r>
      <w:r w:rsidR="00334076" w:rsidRPr="007E38B1">
        <w:rPr>
          <w:rFonts w:asciiTheme="minorHAnsi" w:hAnsiTheme="minorHAnsi"/>
        </w:rPr>
        <w:t xml:space="preserve">podnikatelé provozující </w:t>
      </w:r>
      <w:r w:rsidR="00334076" w:rsidRPr="007E38B1">
        <w:rPr>
          <w:rFonts w:asciiTheme="minorHAnsi" w:hAnsiTheme="minorHAnsi"/>
          <w:b/>
        </w:rPr>
        <w:t>svobodná povolání</w:t>
      </w:r>
      <w:r>
        <w:rPr>
          <w:rFonts w:asciiTheme="minorHAnsi" w:hAnsiTheme="minorHAnsi"/>
        </w:rPr>
        <w:t xml:space="preserve">, jako např. </w:t>
      </w:r>
      <w:r w:rsidR="00334076" w:rsidRPr="007E38B1">
        <w:rPr>
          <w:rFonts w:asciiTheme="minorHAnsi" w:hAnsiTheme="minorHAnsi"/>
        </w:rPr>
        <w:t>lékaři, právníci, účetní, autoservisy a pneuservisy</w:t>
      </w:r>
      <w:r w:rsidR="007449E4" w:rsidRPr="007E38B1">
        <w:rPr>
          <w:rFonts w:asciiTheme="minorHAnsi" w:hAnsiTheme="minorHAnsi"/>
        </w:rPr>
        <w:t xml:space="preserve">, </w:t>
      </w:r>
      <w:r w:rsidR="00334076" w:rsidRPr="007E38B1">
        <w:rPr>
          <w:rFonts w:asciiTheme="minorHAnsi" w:hAnsiTheme="minorHAnsi"/>
        </w:rPr>
        <w:t xml:space="preserve">dále doprava či zemědělství, výroba potravin či nápojů a další výrobní činnosti, pořádání sportovních a kulturních akcí atd. </w:t>
      </w:r>
      <w:r w:rsidR="00334076" w:rsidRPr="007E38B1">
        <w:rPr>
          <w:rStyle w:val="Siln"/>
          <w:rFonts w:asciiTheme="minorHAnsi" w:hAnsiTheme="minorHAnsi"/>
        </w:rPr>
        <w:t>Od 1. 6. 2018</w:t>
      </w:r>
      <w:r w:rsidR="00334076" w:rsidRPr="007E38B1">
        <w:rPr>
          <w:rFonts w:asciiTheme="minorHAnsi" w:hAnsiTheme="minorHAnsi"/>
        </w:rPr>
        <w:t xml:space="preserve"> se jako poslední do evidence zapojí </w:t>
      </w:r>
      <w:r w:rsidR="00334076" w:rsidRPr="007E38B1">
        <w:rPr>
          <w:rFonts w:asciiTheme="minorHAnsi" w:hAnsiTheme="minorHAnsi"/>
          <w:b/>
        </w:rPr>
        <w:t>vybraná řemesla</w:t>
      </w:r>
      <w:r w:rsidR="00FF5A72">
        <w:rPr>
          <w:rFonts w:asciiTheme="minorHAnsi" w:hAnsiTheme="minorHAnsi"/>
          <w:b/>
        </w:rPr>
        <w:t xml:space="preserve"> a činnosti spjaté s</w:t>
      </w:r>
      <w:r w:rsidR="00837AC7">
        <w:rPr>
          <w:rFonts w:asciiTheme="minorHAnsi" w:hAnsiTheme="minorHAnsi"/>
          <w:b/>
        </w:rPr>
        <w:t> </w:t>
      </w:r>
      <w:r w:rsidR="00FF5A72">
        <w:rPr>
          <w:rFonts w:asciiTheme="minorHAnsi" w:hAnsiTheme="minorHAnsi"/>
          <w:b/>
        </w:rPr>
        <w:t>výrobou</w:t>
      </w:r>
      <w:r w:rsidR="00837AC7">
        <w:rPr>
          <w:rFonts w:asciiTheme="minorHAnsi" w:hAnsiTheme="minorHAnsi"/>
          <w:b/>
        </w:rPr>
        <w:t>.</w:t>
      </w:r>
    </w:p>
    <w:p w:rsidR="005A70F3" w:rsidRPr="008112CD" w:rsidRDefault="005A70F3" w:rsidP="008112CD">
      <w:pPr>
        <w:pStyle w:val="Odstavecseseznamem"/>
        <w:numPr>
          <w:ilvl w:val="0"/>
          <w:numId w:val="40"/>
        </w:numPr>
        <w:spacing w:before="100" w:beforeAutospacing="1" w:after="100" w:afterAutospacing="1"/>
        <w:rPr>
          <w:rFonts w:asciiTheme="minorHAnsi" w:hAnsiTheme="minorHAnsi"/>
          <w:b/>
          <w:sz w:val="24"/>
          <w:szCs w:val="24"/>
          <w:u w:val="single"/>
        </w:rPr>
      </w:pPr>
      <w:r w:rsidRPr="008112CD">
        <w:rPr>
          <w:rFonts w:asciiTheme="minorHAnsi" w:hAnsiTheme="minorHAnsi"/>
          <w:b/>
          <w:sz w:val="24"/>
          <w:szCs w:val="24"/>
          <w:u w:val="single"/>
        </w:rPr>
        <w:t>Rozšíření institutu paušální daně</w:t>
      </w:r>
    </w:p>
    <w:p w:rsidR="00FF5A72" w:rsidRPr="001D529C" w:rsidRDefault="00FF5A72" w:rsidP="001D529C">
      <w:pPr>
        <w:pStyle w:val="Normlnweb"/>
        <w:jc w:val="both"/>
        <w:rPr>
          <w:rFonts w:asciiTheme="minorHAnsi" w:hAnsiTheme="minorHAnsi" w:cs="Arial"/>
          <w:b/>
          <w:color w:val="333333"/>
          <w:sz w:val="21"/>
          <w:szCs w:val="21"/>
        </w:rPr>
      </w:pPr>
      <w:r w:rsidRPr="00FF5A72">
        <w:rPr>
          <w:rFonts w:asciiTheme="minorHAnsi" w:hAnsiTheme="minorHAnsi" w:cs="Arial"/>
        </w:rPr>
        <w:t>Dochází</w:t>
      </w:r>
      <w:r w:rsidR="00EA39F0" w:rsidRPr="00FF5A72">
        <w:rPr>
          <w:rFonts w:asciiTheme="minorHAnsi" w:hAnsiTheme="minorHAnsi" w:cs="Arial"/>
        </w:rPr>
        <w:t xml:space="preserve"> také k rozšíření možností využití paušální daně pro podnikatele. </w:t>
      </w:r>
      <w:r w:rsidRPr="00FF5A72">
        <w:rPr>
          <w:rFonts w:asciiTheme="minorHAnsi" w:hAnsiTheme="minorHAnsi" w:cs="Arial"/>
          <w:sz w:val="21"/>
          <w:szCs w:val="21"/>
        </w:rPr>
        <w:t xml:space="preserve">Paušální daň je domluva </w:t>
      </w:r>
      <w:r w:rsidR="00097ADB">
        <w:rPr>
          <w:rFonts w:asciiTheme="minorHAnsi" w:hAnsiTheme="minorHAnsi" w:cs="Arial"/>
          <w:sz w:val="21"/>
          <w:szCs w:val="21"/>
        </w:rPr>
        <w:br/>
      </w:r>
      <w:r w:rsidRPr="00FF5A72">
        <w:rPr>
          <w:rFonts w:asciiTheme="minorHAnsi" w:hAnsiTheme="minorHAnsi" w:cs="Arial"/>
          <w:sz w:val="21"/>
          <w:szCs w:val="21"/>
        </w:rPr>
        <w:t>s finančním úřadem, že na rok zaplatí podnikatel na dani z příjmů konkrétní částku</w:t>
      </w:r>
      <w:r>
        <w:rPr>
          <w:rFonts w:asciiTheme="minorHAnsi" w:hAnsiTheme="minorHAnsi" w:cs="Arial"/>
          <w:sz w:val="21"/>
          <w:szCs w:val="21"/>
        </w:rPr>
        <w:t>, jde tedy</w:t>
      </w:r>
      <w:r w:rsidR="00097ADB">
        <w:rPr>
          <w:rFonts w:asciiTheme="minorHAnsi" w:hAnsiTheme="minorHAnsi" w:cs="Arial"/>
          <w:sz w:val="21"/>
          <w:szCs w:val="21"/>
        </w:rPr>
        <w:t xml:space="preserve"> </w:t>
      </w:r>
      <w:r>
        <w:rPr>
          <w:rFonts w:asciiTheme="minorHAnsi" w:hAnsiTheme="minorHAnsi" w:cs="Arial"/>
          <w:sz w:val="21"/>
          <w:szCs w:val="21"/>
        </w:rPr>
        <w:t xml:space="preserve">o </w:t>
      </w:r>
      <w:r w:rsidRPr="00FF5A72">
        <w:rPr>
          <w:rFonts w:asciiTheme="minorHAnsi" w:hAnsiTheme="minorHAnsi" w:cs="Arial"/>
          <w:sz w:val="21"/>
          <w:szCs w:val="21"/>
        </w:rPr>
        <w:t>stanovení částky daně z příjmů na celý rok dopředu. </w:t>
      </w:r>
      <w:r w:rsidR="00EA39F0" w:rsidRPr="00FF5A72">
        <w:rPr>
          <w:rFonts w:asciiTheme="minorHAnsi" w:hAnsiTheme="minorHAnsi" w:cs="Arial"/>
        </w:rPr>
        <w:t>Nově si paušální daň mohou nechat stanovit i </w:t>
      </w:r>
      <w:r w:rsidR="00EA39F0" w:rsidRPr="00FF5A72">
        <w:rPr>
          <w:rFonts w:asciiTheme="minorHAnsi" w:hAnsiTheme="minorHAnsi" w:cs="Arial"/>
          <w:b/>
        </w:rPr>
        <w:t xml:space="preserve">podnikatelé se zaměstnanci nebo ti, kteří si přivydělávají jako OSVČ k zaměstnání. </w:t>
      </w:r>
    </w:p>
    <w:p w:rsidR="005A70F3" w:rsidRPr="008112CD" w:rsidRDefault="005A70F3" w:rsidP="008112CD">
      <w:pPr>
        <w:pStyle w:val="Odstavecseseznamem"/>
        <w:numPr>
          <w:ilvl w:val="0"/>
          <w:numId w:val="40"/>
        </w:numPr>
        <w:spacing w:before="100" w:beforeAutospacing="1" w:after="100" w:afterAutospacing="1"/>
        <w:rPr>
          <w:rFonts w:asciiTheme="minorHAnsi" w:hAnsiTheme="minorHAnsi"/>
          <w:b/>
          <w:sz w:val="24"/>
          <w:szCs w:val="24"/>
          <w:u w:val="single"/>
        </w:rPr>
      </w:pPr>
      <w:r w:rsidRPr="008112CD">
        <w:rPr>
          <w:rFonts w:asciiTheme="minorHAnsi" w:hAnsiTheme="minorHAnsi"/>
          <w:b/>
          <w:sz w:val="24"/>
          <w:szCs w:val="24"/>
          <w:u w:val="single"/>
        </w:rPr>
        <w:t>Zjednodušení přiznání z „malého rozsahu“ podnikání</w:t>
      </w:r>
    </w:p>
    <w:p w:rsidR="00281A02" w:rsidRPr="001D529C" w:rsidRDefault="00281A02" w:rsidP="001D529C">
      <w:pPr>
        <w:spacing w:before="100" w:beforeAutospacing="1" w:after="100" w:afterAutospacing="1"/>
        <w:jc w:val="both"/>
        <w:rPr>
          <w:rFonts w:asciiTheme="minorHAnsi" w:hAnsiTheme="minorHAnsi" w:cs="Arial"/>
        </w:rPr>
      </w:pPr>
      <w:r w:rsidRPr="001D529C">
        <w:rPr>
          <w:rFonts w:asciiTheme="minorHAnsi" w:hAnsiTheme="minorHAnsi" w:cs="Arial"/>
        </w:rPr>
        <w:t xml:space="preserve">U příjmů ze závislé činnosti </w:t>
      </w:r>
      <w:r w:rsidRPr="001D529C">
        <w:rPr>
          <w:rStyle w:val="Siln"/>
          <w:rFonts w:asciiTheme="minorHAnsi" w:hAnsiTheme="minorHAnsi" w:cs="Arial"/>
        </w:rPr>
        <w:t>malého rozsahu</w:t>
      </w:r>
      <w:r w:rsidRPr="001D529C">
        <w:rPr>
          <w:rFonts w:asciiTheme="minorHAnsi" w:hAnsiTheme="minorHAnsi" w:cs="Arial"/>
        </w:rPr>
        <w:t xml:space="preserve"> (např. u dohod o pracovní činnosti) </w:t>
      </w:r>
      <w:r w:rsidRPr="001D529C">
        <w:rPr>
          <w:rStyle w:val="Siln"/>
          <w:rFonts w:asciiTheme="minorHAnsi" w:hAnsiTheme="minorHAnsi" w:cs="Arial"/>
        </w:rPr>
        <w:t>do 2 500 Kč měsíčně</w:t>
      </w:r>
      <w:r w:rsidRPr="001D529C">
        <w:rPr>
          <w:rFonts w:asciiTheme="minorHAnsi" w:hAnsiTheme="minorHAnsi" w:cs="Arial"/>
        </w:rPr>
        <w:t xml:space="preserve"> bude</w:t>
      </w:r>
      <w:r w:rsidR="001D529C">
        <w:rPr>
          <w:rFonts w:asciiTheme="minorHAnsi" w:hAnsiTheme="minorHAnsi" w:cs="Arial"/>
        </w:rPr>
        <w:t xml:space="preserve"> podnikatel nově</w:t>
      </w:r>
      <w:r w:rsidRPr="001D529C">
        <w:rPr>
          <w:rFonts w:asciiTheme="minorHAnsi" w:hAnsiTheme="minorHAnsi" w:cs="Arial"/>
        </w:rPr>
        <w:t xml:space="preserve"> </w:t>
      </w:r>
      <w:r w:rsidRPr="001D529C">
        <w:rPr>
          <w:rStyle w:val="Siln"/>
          <w:rFonts w:asciiTheme="minorHAnsi" w:hAnsiTheme="minorHAnsi" w:cs="Arial"/>
        </w:rPr>
        <w:t>uplatňovat srážkovou daň</w:t>
      </w:r>
      <w:r w:rsidR="001D529C">
        <w:rPr>
          <w:rFonts w:asciiTheme="minorHAnsi" w:hAnsiTheme="minorHAnsi" w:cs="Arial"/>
        </w:rPr>
        <w:t>,</w:t>
      </w:r>
      <w:r w:rsidRPr="001D529C">
        <w:rPr>
          <w:rFonts w:asciiTheme="minorHAnsi" w:hAnsiTheme="minorHAnsi" w:cs="Arial"/>
        </w:rPr>
        <w:t xml:space="preserve"> </w:t>
      </w:r>
      <w:r w:rsidR="001D529C">
        <w:rPr>
          <w:rFonts w:asciiTheme="minorHAnsi" w:hAnsiTheme="minorHAnsi" w:cs="Arial"/>
        </w:rPr>
        <w:t>p</w:t>
      </w:r>
      <w:r w:rsidRPr="001D529C">
        <w:rPr>
          <w:rFonts w:asciiTheme="minorHAnsi" w:hAnsiTheme="minorHAnsi" w:cs="Arial"/>
        </w:rPr>
        <w:t>odobně jako dosud u dohod o provedení práce do 10 000 Kč</w:t>
      </w:r>
      <w:r w:rsidR="001D529C">
        <w:rPr>
          <w:rFonts w:asciiTheme="minorHAnsi" w:hAnsiTheme="minorHAnsi" w:cs="Arial"/>
        </w:rPr>
        <w:t>.</w:t>
      </w:r>
      <w:r w:rsidRPr="001D529C">
        <w:rPr>
          <w:rFonts w:asciiTheme="minorHAnsi" w:hAnsiTheme="minorHAnsi" w:cs="Arial"/>
        </w:rPr>
        <w:t xml:space="preserve"> Příjmy zdaněné srážkovou daní </w:t>
      </w:r>
      <w:r w:rsidRPr="001D529C">
        <w:rPr>
          <w:rStyle w:val="Siln"/>
          <w:rFonts w:asciiTheme="minorHAnsi" w:hAnsiTheme="minorHAnsi" w:cs="Arial"/>
        </w:rPr>
        <w:t>nebude muset poplatník uvádět v daňovém přiznání</w:t>
      </w:r>
      <w:r w:rsidRPr="001D529C">
        <w:rPr>
          <w:rFonts w:asciiTheme="minorHAnsi" w:hAnsiTheme="minorHAnsi" w:cs="Arial"/>
        </w:rPr>
        <w:t>.</w:t>
      </w:r>
    </w:p>
    <w:p w:rsidR="007449E4" w:rsidRPr="008112CD" w:rsidRDefault="007449E4" w:rsidP="008112CD">
      <w:pPr>
        <w:pStyle w:val="Odstavecseseznamem"/>
        <w:numPr>
          <w:ilvl w:val="0"/>
          <w:numId w:val="40"/>
        </w:numPr>
        <w:spacing w:before="100" w:beforeAutospacing="1" w:after="100" w:afterAutospacing="1"/>
        <w:rPr>
          <w:rFonts w:asciiTheme="minorHAnsi" w:hAnsiTheme="minorHAnsi"/>
          <w:b/>
          <w:sz w:val="24"/>
          <w:szCs w:val="24"/>
          <w:u w:val="single"/>
        </w:rPr>
      </w:pPr>
      <w:r w:rsidRPr="008112CD">
        <w:rPr>
          <w:rFonts w:asciiTheme="minorHAnsi" w:hAnsiTheme="minorHAnsi"/>
          <w:b/>
          <w:sz w:val="24"/>
          <w:szCs w:val="24"/>
          <w:u w:val="single"/>
        </w:rPr>
        <w:t xml:space="preserve">Zavedení institutu nespolehlivé osoby </w:t>
      </w:r>
    </w:p>
    <w:p w:rsidR="007449E4" w:rsidRDefault="007449E4" w:rsidP="001D529C">
      <w:pPr>
        <w:autoSpaceDE w:val="0"/>
        <w:autoSpaceDN w:val="0"/>
        <w:adjustRightInd w:val="0"/>
        <w:jc w:val="both"/>
        <w:rPr>
          <w:rFonts w:asciiTheme="minorHAnsi" w:hAnsiTheme="minorHAnsi" w:cs="MyriadPro-Regular"/>
          <w:lang w:eastAsia="en-US"/>
        </w:rPr>
      </w:pPr>
      <w:r w:rsidRPr="001D529C">
        <w:rPr>
          <w:rFonts w:asciiTheme="minorHAnsi" w:hAnsiTheme="minorHAnsi" w:cs="MyriadPro-Regular"/>
          <w:lang w:eastAsia="en-US"/>
        </w:rPr>
        <w:t>K institutu nespolehlivého plátce</w:t>
      </w:r>
      <w:r w:rsidR="001D529C" w:rsidRPr="001D529C">
        <w:rPr>
          <w:rFonts w:asciiTheme="minorHAnsi" w:hAnsiTheme="minorHAnsi" w:cs="MyriadPro-Regular"/>
          <w:lang w:eastAsia="en-US"/>
        </w:rPr>
        <w:t xml:space="preserve"> DPH</w:t>
      </w:r>
      <w:r w:rsidRPr="001D529C">
        <w:rPr>
          <w:rFonts w:asciiTheme="minorHAnsi" w:hAnsiTheme="minorHAnsi" w:cs="MyriadPro-Regular"/>
          <w:lang w:eastAsia="en-US"/>
        </w:rPr>
        <w:t xml:space="preserve"> se zavádí nový institut </w:t>
      </w:r>
      <w:r w:rsidRPr="001D529C">
        <w:rPr>
          <w:rFonts w:asciiTheme="minorHAnsi" w:hAnsiTheme="minorHAnsi" w:cs="MyriadPro-Bold"/>
          <w:b/>
          <w:bCs/>
          <w:lang w:eastAsia="en-US"/>
        </w:rPr>
        <w:t>nespolehlivé osoby</w:t>
      </w:r>
      <w:r w:rsidRPr="001D529C">
        <w:rPr>
          <w:rFonts w:asciiTheme="minorHAnsi" w:hAnsiTheme="minorHAnsi" w:cs="MyriadPro-Regular"/>
          <w:lang w:eastAsia="en-US"/>
        </w:rPr>
        <w:t>. Nespolehlivou osobou se stane osoba, která není</w:t>
      </w:r>
      <w:r w:rsidR="001D529C" w:rsidRPr="001D529C">
        <w:rPr>
          <w:rFonts w:asciiTheme="minorHAnsi" w:hAnsiTheme="minorHAnsi" w:cs="MyriadPro-Regular"/>
          <w:lang w:eastAsia="en-US"/>
        </w:rPr>
        <w:t xml:space="preserve"> </w:t>
      </w:r>
      <w:r w:rsidRPr="001D529C">
        <w:rPr>
          <w:rFonts w:asciiTheme="minorHAnsi" w:hAnsiTheme="minorHAnsi" w:cs="MyriadPro-Regular"/>
          <w:lang w:eastAsia="en-US"/>
        </w:rPr>
        <w:t>plátcem a která závažným způsobem poruší své povinnosti vztahující se ke správě daně.</w:t>
      </w:r>
      <w:r w:rsidR="001D529C" w:rsidRPr="001D529C">
        <w:rPr>
          <w:rFonts w:asciiTheme="minorHAnsi" w:hAnsiTheme="minorHAnsi" w:cs="MyriadPro-Regular"/>
          <w:lang w:eastAsia="en-US"/>
        </w:rPr>
        <w:t xml:space="preserve"> </w:t>
      </w:r>
      <w:r w:rsidRPr="001D529C">
        <w:rPr>
          <w:rFonts w:asciiTheme="minorHAnsi" w:hAnsiTheme="minorHAnsi" w:cs="MyriadPro-Bold"/>
          <w:b/>
          <w:bCs/>
          <w:lang w:eastAsia="en-US"/>
        </w:rPr>
        <w:t>Stane-li se nespolehlivá osoba plátcem</w:t>
      </w:r>
      <w:r w:rsidRPr="001D529C">
        <w:rPr>
          <w:rFonts w:asciiTheme="minorHAnsi" w:hAnsiTheme="minorHAnsi" w:cs="MyriadPro-Regular"/>
          <w:lang w:eastAsia="en-US"/>
        </w:rPr>
        <w:t xml:space="preserve">, </w:t>
      </w:r>
      <w:r w:rsidRPr="001D529C">
        <w:rPr>
          <w:rFonts w:asciiTheme="minorHAnsi" w:hAnsiTheme="minorHAnsi" w:cs="MyriadPro-Regular"/>
          <w:b/>
          <w:lang w:eastAsia="en-US"/>
        </w:rPr>
        <w:t>stává se současně nespolehlivým plátcem.</w:t>
      </w:r>
      <w:r w:rsidRPr="001D529C">
        <w:rPr>
          <w:rFonts w:asciiTheme="minorHAnsi" w:hAnsiTheme="minorHAnsi" w:cs="MyriadPro-Regular"/>
          <w:lang w:eastAsia="en-US"/>
        </w:rPr>
        <w:t xml:space="preserve"> Stane-li se nespolehlivá osoba nebo nespolehlivý</w:t>
      </w:r>
      <w:r w:rsidR="001D529C" w:rsidRPr="001D529C">
        <w:rPr>
          <w:rFonts w:asciiTheme="minorHAnsi" w:hAnsiTheme="minorHAnsi" w:cs="MyriadPro-Regular"/>
          <w:lang w:eastAsia="en-US"/>
        </w:rPr>
        <w:t xml:space="preserve"> </w:t>
      </w:r>
      <w:r w:rsidRPr="001D529C">
        <w:rPr>
          <w:rFonts w:asciiTheme="minorHAnsi" w:hAnsiTheme="minorHAnsi" w:cs="MyriadPro-Regular"/>
          <w:lang w:eastAsia="en-US"/>
        </w:rPr>
        <w:t>plátce členem skupiny, stává se současně tato skupina nespolehlivým plátcem. Dojde-li ke zrušení registrace nespolehlivého</w:t>
      </w:r>
      <w:r w:rsidR="001D529C" w:rsidRPr="001D529C">
        <w:rPr>
          <w:rFonts w:asciiTheme="minorHAnsi" w:hAnsiTheme="minorHAnsi" w:cs="MyriadPro-Regular"/>
          <w:lang w:eastAsia="en-US"/>
        </w:rPr>
        <w:t xml:space="preserve"> </w:t>
      </w:r>
      <w:r w:rsidRPr="001D529C">
        <w:rPr>
          <w:rFonts w:asciiTheme="minorHAnsi" w:hAnsiTheme="minorHAnsi" w:cs="MyriadPro-Regular"/>
          <w:lang w:eastAsia="en-US"/>
        </w:rPr>
        <w:t>plátce, který je skupinou, stávají se členové této skupiny nespolehlivými plátci dnem nastávajícím po dni, kdy tato</w:t>
      </w:r>
      <w:r w:rsidR="001D529C" w:rsidRPr="001D529C">
        <w:rPr>
          <w:rFonts w:asciiTheme="minorHAnsi" w:hAnsiTheme="minorHAnsi" w:cs="MyriadPro-Regular"/>
          <w:lang w:eastAsia="en-US"/>
        </w:rPr>
        <w:t xml:space="preserve"> </w:t>
      </w:r>
      <w:r w:rsidRPr="001D529C">
        <w:rPr>
          <w:rFonts w:asciiTheme="minorHAnsi" w:hAnsiTheme="minorHAnsi" w:cs="MyriadPro-Regular"/>
          <w:lang w:eastAsia="en-US"/>
        </w:rPr>
        <w:t>skupina přestala být plátcem.</w:t>
      </w:r>
    </w:p>
    <w:p w:rsidR="001D529C" w:rsidRPr="001D529C" w:rsidRDefault="001D529C" w:rsidP="001D529C">
      <w:pPr>
        <w:autoSpaceDE w:val="0"/>
        <w:autoSpaceDN w:val="0"/>
        <w:adjustRightInd w:val="0"/>
        <w:jc w:val="both"/>
        <w:rPr>
          <w:rFonts w:asciiTheme="minorHAnsi" w:hAnsiTheme="minorHAnsi" w:cs="MyriadPro-Regular"/>
          <w:lang w:eastAsia="en-US"/>
        </w:rPr>
      </w:pPr>
    </w:p>
    <w:p w:rsidR="00A75423" w:rsidRPr="008112CD" w:rsidRDefault="00A75423" w:rsidP="008112CD">
      <w:pPr>
        <w:pStyle w:val="Odstavecseseznamem"/>
        <w:numPr>
          <w:ilvl w:val="0"/>
          <w:numId w:val="40"/>
        </w:numPr>
        <w:autoSpaceDE w:val="0"/>
        <w:autoSpaceDN w:val="0"/>
        <w:adjustRightInd w:val="0"/>
        <w:rPr>
          <w:rFonts w:asciiTheme="minorHAnsi" w:hAnsiTheme="minorHAnsi" w:cs="MyriadPro-Bold"/>
          <w:b/>
          <w:bCs/>
          <w:sz w:val="24"/>
          <w:szCs w:val="24"/>
          <w:u w:val="single"/>
          <w:lang w:eastAsia="en-US"/>
        </w:rPr>
      </w:pPr>
      <w:r w:rsidRPr="008112CD">
        <w:rPr>
          <w:rFonts w:asciiTheme="minorHAnsi" w:hAnsiTheme="minorHAnsi" w:cs="MyriadPro-Bold"/>
          <w:b/>
          <w:bCs/>
          <w:sz w:val="24"/>
          <w:szCs w:val="24"/>
          <w:u w:val="single"/>
          <w:lang w:eastAsia="en-US"/>
        </w:rPr>
        <w:t xml:space="preserve">Uskutečnění zdanitelného plnění </w:t>
      </w:r>
    </w:p>
    <w:p w:rsidR="00A75423" w:rsidRPr="00A75423" w:rsidRDefault="00A75423" w:rsidP="00A75423">
      <w:pPr>
        <w:autoSpaceDE w:val="0"/>
        <w:autoSpaceDN w:val="0"/>
        <w:adjustRightInd w:val="0"/>
        <w:rPr>
          <w:rFonts w:asciiTheme="minorHAnsi" w:hAnsiTheme="minorHAnsi" w:cs="MyriadPro-Bold"/>
          <w:b/>
          <w:bCs/>
          <w:lang w:eastAsia="en-US"/>
        </w:rPr>
      </w:pPr>
    </w:p>
    <w:p w:rsidR="00A75423" w:rsidRPr="00747F37" w:rsidRDefault="00A75423" w:rsidP="00B62A1C">
      <w:pPr>
        <w:autoSpaceDE w:val="0"/>
        <w:autoSpaceDN w:val="0"/>
        <w:adjustRightInd w:val="0"/>
        <w:jc w:val="both"/>
        <w:rPr>
          <w:rFonts w:asciiTheme="minorHAnsi" w:hAnsiTheme="minorHAnsi" w:cs="MyriadPro-Regular"/>
          <w:lang w:eastAsia="en-US"/>
        </w:rPr>
      </w:pPr>
      <w:r w:rsidRPr="00747F37">
        <w:rPr>
          <w:rFonts w:asciiTheme="minorHAnsi" w:hAnsiTheme="minorHAnsi" w:cs="MyriadPro-Regular"/>
          <w:lang w:eastAsia="en-US"/>
        </w:rPr>
        <w:t xml:space="preserve">Při </w:t>
      </w:r>
      <w:r w:rsidRPr="00747F37">
        <w:rPr>
          <w:rFonts w:asciiTheme="minorHAnsi" w:hAnsiTheme="minorHAnsi" w:cs="MyriadPro-Bold"/>
          <w:b/>
          <w:bCs/>
          <w:lang w:eastAsia="en-US"/>
        </w:rPr>
        <w:t xml:space="preserve">dodání zboží se zdanitelné plnění podle obecného pravidla považuje za uskutečněné </w:t>
      </w:r>
      <w:r w:rsidRPr="00747F37">
        <w:rPr>
          <w:rFonts w:asciiTheme="minorHAnsi" w:hAnsiTheme="minorHAnsi" w:cs="MyriadPro-Regular"/>
          <w:lang w:eastAsia="en-US"/>
        </w:rPr>
        <w:t>dnem, ke kterému dochází k</w:t>
      </w:r>
      <w:r w:rsidR="00747F37" w:rsidRPr="00747F37">
        <w:rPr>
          <w:rFonts w:asciiTheme="minorHAnsi" w:hAnsiTheme="minorHAnsi" w:cs="MyriadPro-Regular"/>
          <w:lang w:eastAsia="en-US"/>
        </w:rPr>
        <w:t> </w:t>
      </w:r>
      <w:r w:rsidRPr="00747F37">
        <w:rPr>
          <w:rFonts w:asciiTheme="minorHAnsi" w:hAnsiTheme="minorHAnsi" w:cs="MyriadPro-Regular"/>
          <w:lang w:eastAsia="en-US"/>
        </w:rPr>
        <w:t>převodu</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práva nakládat se zbožím jako vlastník</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Den</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převzetí zboží již není určující.</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 xml:space="preserve">Při </w:t>
      </w:r>
      <w:r w:rsidRPr="00747F37">
        <w:rPr>
          <w:rFonts w:asciiTheme="minorHAnsi" w:hAnsiTheme="minorHAnsi" w:cs="MyriadPro-Bold"/>
          <w:b/>
          <w:bCs/>
          <w:lang w:eastAsia="en-US"/>
        </w:rPr>
        <w:t xml:space="preserve">poskytnutí služby se zdanitelné plnění považuje podle obecného pravidla za uskutečněné </w:t>
      </w:r>
      <w:r w:rsidRPr="00747F37">
        <w:rPr>
          <w:rFonts w:asciiTheme="minorHAnsi" w:hAnsiTheme="minorHAnsi" w:cs="MyriadPro-Regular"/>
          <w:lang w:eastAsia="en-US"/>
        </w:rPr>
        <w:t>dnem jejího poskytnutí</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nebo dnem vystavení daňového dokladu, s výjimkou splátkového nebo platebního kalendáře nebo dokladu na přijatou úplatu,</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a to tím dnem, který nastane dříve. V zákoně o DPH již není uvedena vazba na den uvedený ve smlouvě, ke kterému dochází</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k pozbytí nehmotné věci nebo přenechání zboží k užití jinému.</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 xml:space="preserve">Dochází ke </w:t>
      </w:r>
      <w:r w:rsidRPr="00747F37">
        <w:rPr>
          <w:rFonts w:asciiTheme="minorHAnsi" w:hAnsiTheme="minorHAnsi" w:cs="MyriadPro-Bold"/>
          <w:b/>
          <w:bCs/>
          <w:lang w:eastAsia="en-US"/>
        </w:rPr>
        <w:t>zrušení definice opakovaného plnění</w:t>
      </w:r>
      <w:r w:rsidRPr="00747F37">
        <w:rPr>
          <w:rFonts w:asciiTheme="minorHAnsi" w:hAnsiTheme="minorHAnsi" w:cs="MyriadPro-Regular"/>
          <w:lang w:eastAsia="en-US"/>
        </w:rPr>
        <w:t>. V případě dodání zboží či poskytnutí služby, které probíhá po dobu delší</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než 12 měsíců, se zdanitelné plnění považuje za uskutečněné nejpozději posledním dnem každého kalendářního roku následujícího</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po roce, ve kterém bylo poskytování tohoto plnění započato.</w:t>
      </w:r>
    </w:p>
    <w:p w:rsidR="00B62A1C" w:rsidRDefault="00B62A1C" w:rsidP="00B62A1C">
      <w:pPr>
        <w:autoSpaceDE w:val="0"/>
        <w:autoSpaceDN w:val="0"/>
        <w:adjustRightInd w:val="0"/>
        <w:jc w:val="both"/>
        <w:rPr>
          <w:rFonts w:asciiTheme="minorHAnsi" w:hAnsiTheme="minorHAnsi" w:cs="MyriadPro-Regular"/>
          <w:color w:val="FF0000"/>
          <w:sz w:val="20"/>
          <w:szCs w:val="20"/>
          <w:lang w:eastAsia="en-US"/>
        </w:rPr>
      </w:pPr>
    </w:p>
    <w:p w:rsidR="00B62A1C" w:rsidRPr="008112CD" w:rsidRDefault="00CC1118" w:rsidP="008112CD">
      <w:pPr>
        <w:pStyle w:val="Odstavecseseznamem"/>
        <w:numPr>
          <w:ilvl w:val="0"/>
          <w:numId w:val="40"/>
        </w:numPr>
        <w:autoSpaceDE w:val="0"/>
        <w:autoSpaceDN w:val="0"/>
        <w:adjustRightInd w:val="0"/>
        <w:rPr>
          <w:rFonts w:asciiTheme="minorHAnsi" w:hAnsiTheme="minorHAnsi" w:cs="MyriadPro-Bold"/>
          <w:b/>
          <w:bCs/>
          <w:sz w:val="24"/>
          <w:szCs w:val="24"/>
          <w:u w:val="single"/>
          <w:lang w:eastAsia="en-US"/>
        </w:rPr>
      </w:pPr>
      <w:r w:rsidRPr="008112CD">
        <w:rPr>
          <w:rFonts w:asciiTheme="minorHAnsi" w:hAnsiTheme="minorHAnsi" w:cs="MyriadPro-Bold"/>
          <w:b/>
          <w:bCs/>
          <w:sz w:val="24"/>
          <w:szCs w:val="24"/>
          <w:u w:val="single"/>
          <w:lang w:eastAsia="en-US"/>
        </w:rPr>
        <w:t>Možnost o</w:t>
      </w:r>
      <w:r w:rsidR="00B62A1C" w:rsidRPr="008112CD">
        <w:rPr>
          <w:rFonts w:asciiTheme="minorHAnsi" w:hAnsiTheme="minorHAnsi" w:cs="MyriadPro-Bold"/>
          <w:b/>
          <w:bCs/>
          <w:sz w:val="24"/>
          <w:szCs w:val="24"/>
          <w:u w:val="single"/>
          <w:lang w:eastAsia="en-US"/>
        </w:rPr>
        <w:t>prav</w:t>
      </w:r>
      <w:r w:rsidRPr="008112CD">
        <w:rPr>
          <w:rFonts w:asciiTheme="minorHAnsi" w:hAnsiTheme="minorHAnsi" w:cs="MyriadPro-Bold"/>
          <w:b/>
          <w:bCs/>
          <w:sz w:val="24"/>
          <w:szCs w:val="24"/>
          <w:u w:val="single"/>
          <w:lang w:eastAsia="en-US"/>
        </w:rPr>
        <w:t>y</w:t>
      </w:r>
      <w:r w:rsidR="00B62A1C" w:rsidRPr="008112CD">
        <w:rPr>
          <w:rFonts w:asciiTheme="minorHAnsi" w:hAnsiTheme="minorHAnsi" w:cs="MyriadPro-Bold"/>
          <w:b/>
          <w:bCs/>
          <w:sz w:val="24"/>
          <w:szCs w:val="24"/>
          <w:u w:val="single"/>
          <w:lang w:eastAsia="en-US"/>
        </w:rPr>
        <w:t xml:space="preserve"> základu daně u leasingu</w:t>
      </w:r>
    </w:p>
    <w:p w:rsidR="00747F37" w:rsidRPr="00B62A1C" w:rsidRDefault="00747F37" w:rsidP="00B62A1C">
      <w:pPr>
        <w:autoSpaceDE w:val="0"/>
        <w:autoSpaceDN w:val="0"/>
        <w:adjustRightInd w:val="0"/>
        <w:rPr>
          <w:rFonts w:asciiTheme="minorHAnsi" w:hAnsiTheme="minorHAnsi" w:cs="MyriadPro-Bold"/>
          <w:b/>
          <w:bCs/>
          <w:lang w:eastAsia="en-US"/>
        </w:rPr>
      </w:pPr>
    </w:p>
    <w:p w:rsidR="00B62A1C" w:rsidRPr="00747F37" w:rsidRDefault="00B62A1C" w:rsidP="00747F37">
      <w:pPr>
        <w:autoSpaceDE w:val="0"/>
        <w:autoSpaceDN w:val="0"/>
        <w:adjustRightInd w:val="0"/>
        <w:jc w:val="both"/>
        <w:rPr>
          <w:rFonts w:asciiTheme="minorHAnsi" w:hAnsiTheme="minorHAnsi" w:cs="MyriadPro-Regular"/>
          <w:lang w:eastAsia="en-US"/>
        </w:rPr>
      </w:pPr>
      <w:r w:rsidRPr="00747F37">
        <w:rPr>
          <w:rFonts w:asciiTheme="minorHAnsi" w:hAnsiTheme="minorHAnsi" w:cs="MyriadPro-Regular"/>
          <w:lang w:eastAsia="en-US"/>
        </w:rPr>
        <w:t xml:space="preserve">Pokud </w:t>
      </w:r>
      <w:r w:rsidRPr="00747F37">
        <w:rPr>
          <w:rFonts w:asciiTheme="minorHAnsi" w:hAnsiTheme="minorHAnsi" w:cs="MyriadPro-Bold"/>
          <w:b/>
          <w:bCs/>
          <w:lang w:eastAsia="en-US"/>
        </w:rPr>
        <w:t xml:space="preserve">při pořizování zboží formou finančního leasingu </w:t>
      </w:r>
      <w:r w:rsidRPr="00747F37">
        <w:rPr>
          <w:rFonts w:asciiTheme="minorHAnsi" w:hAnsiTheme="minorHAnsi" w:cs="MyriadPro-Regular"/>
          <w:lang w:eastAsia="en-US"/>
        </w:rPr>
        <w:t xml:space="preserve">dojde při převodu vlastnického práva ke zboží na uživatele ke </w:t>
      </w:r>
      <w:r w:rsidRPr="00CC1118">
        <w:rPr>
          <w:rFonts w:asciiTheme="minorHAnsi" w:hAnsiTheme="minorHAnsi" w:cs="MyriadPro-Regular"/>
          <w:b/>
          <w:lang w:eastAsia="en-US"/>
        </w:rPr>
        <w:t>změně</w:t>
      </w:r>
      <w:r w:rsidR="00747F37" w:rsidRPr="00CC1118">
        <w:rPr>
          <w:rFonts w:asciiTheme="minorHAnsi" w:hAnsiTheme="minorHAnsi" w:cs="MyriadPro-Regular"/>
          <w:b/>
          <w:lang w:eastAsia="en-US"/>
        </w:rPr>
        <w:t xml:space="preserve"> </w:t>
      </w:r>
      <w:r w:rsidRPr="00CC1118">
        <w:rPr>
          <w:rFonts w:asciiTheme="minorHAnsi" w:hAnsiTheme="minorHAnsi" w:cs="MyriadPro-Regular"/>
          <w:b/>
          <w:lang w:eastAsia="en-US"/>
        </w:rPr>
        <w:t>výše úplaty</w:t>
      </w:r>
      <w:r w:rsidRPr="00747F37">
        <w:rPr>
          <w:rFonts w:asciiTheme="minorHAnsi" w:hAnsiTheme="minorHAnsi" w:cs="MyriadPro-Regular"/>
          <w:lang w:eastAsia="en-US"/>
        </w:rPr>
        <w:t xml:space="preserve">, popř. pokud k převodu vlastnického práva ke zboží na uživatele </w:t>
      </w:r>
      <w:r w:rsidR="00097ADB">
        <w:rPr>
          <w:rFonts w:asciiTheme="minorHAnsi" w:hAnsiTheme="minorHAnsi" w:cs="MyriadPro-Regular"/>
          <w:lang w:eastAsia="en-US"/>
        </w:rPr>
        <w:br/>
      </w:r>
      <w:r w:rsidRPr="00747F37">
        <w:rPr>
          <w:rFonts w:asciiTheme="minorHAnsi" w:hAnsiTheme="minorHAnsi" w:cs="MyriadPro-Regular"/>
          <w:lang w:eastAsia="en-US"/>
        </w:rPr>
        <w:t xml:space="preserve">z jakéhokoliv důvodu nedojde, </w:t>
      </w:r>
      <w:r w:rsidRPr="00CC1118">
        <w:rPr>
          <w:rFonts w:asciiTheme="minorHAnsi" w:hAnsiTheme="minorHAnsi" w:cs="MyriadPro-Regular"/>
          <w:b/>
          <w:lang w:eastAsia="en-US"/>
        </w:rPr>
        <w:t>je umožněno</w:t>
      </w:r>
      <w:r w:rsidR="00747F37" w:rsidRPr="00CC1118">
        <w:rPr>
          <w:rFonts w:asciiTheme="minorHAnsi" w:hAnsiTheme="minorHAnsi" w:cs="MyriadPro-Regular"/>
          <w:b/>
          <w:lang w:eastAsia="en-US"/>
        </w:rPr>
        <w:t xml:space="preserve"> </w:t>
      </w:r>
      <w:r w:rsidRPr="00CC1118">
        <w:rPr>
          <w:rFonts w:asciiTheme="minorHAnsi" w:hAnsiTheme="minorHAnsi" w:cs="MyriadPro-Regular"/>
          <w:b/>
          <w:lang w:eastAsia="en-US"/>
        </w:rPr>
        <w:t>provedení opravy základu daně a výše daně</w:t>
      </w:r>
      <w:r w:rsidRPr="00747F37">
        <w:rPr>
          <w:rFonts w:asciiTheme="minorHAnsi" w:hAnsiTheme="minorHAnsi" w:cs="MyriadPro-Regular"/>
          <w:lang w:eastAsia="en-US"/>
        </w:rPr>
        <w:t>. Oprava základu daně a výše daně se provede ve lhůtě 3 let od konce zdaňovacího</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 xml:space="preserve">období, ve kterém došlo </w:t>
      </w:r>
      <w:r w:rsidR="00097ADB">
        <w:rPr>
          <w:rFonts w:asciiTheme="minorHAnsi" w:hAnsiTheme="minorHAnsi" w:cs="MyriadPro-Regular"/>
          <w:lang w:eastAsia="en-US"/>
        </w:rPr>
        <w:br/>
      </w:r>
      <w:r w:rsidRPr="00747F37">
        <w:rPr>
          <w:rFonts w:asciiTheme="minorHAnsi" w:hAnsiTheme="minorHAnsi" w:cs="MyriadPro-Regular"/>
          <w:lang w:eastAsia="en-US"/>
        </w:rPr>
        <w:t>k převodu vlastnického práva, popř. ve kterém nastala skutečnost, na jejímž základě nedošlo k</w:t>
      </w:r>
      <w:r w:rsidR="00747F37" w:rsidRPr="00747F37">
        <w:rPr>
          <w:rFonts w:asciiTheme="minorHAnsi" w:hAnsiTheme="minorHAnsi" w:cs="MyriadPro-Regular"/>
          <w:lang w:eastAsia="en-US"/>
        </w:rPr>
        <w:t> </w:t>
      </w:r>
      <w:r w:rsidRPr="00747F37">
        <w:rPr>
          <w:rFonts w:asciiTheme="minorHAnsi" w:hAnsiTheme="minorHAnsi" w:cs="MyriadPro-Regular"/>
          <w:lang w:eastAsia="en-US"/>
        </w:rPr>
        <w:t>převedení</w:t>
      </w:r>
      <w:r w:rsidR="00747F37" w:rsidRPr="00747F37">
        <w:rPr>
          <w:rFonts w:asciiTheme="minorHAnsi" w:hAnsiTheme="minorHAnsi" w:cs="MyriadPro-Regular"/>
          <w:lang w:eastAsia="en-US"/>
        </w:rPr>
        <w:t xml:space="preserve"> </w:t>
      </w:r>
      <w:r w:rsidRPr="00747F37">
        <w:rPr>
          <w:rFonts w:asciiTheme="minorHAnsi" w:hAnsiTheme="minorHAnsi" w:cs="MyriadPro-Regular"/>
          <w:lang w:eastAsia="en-US"/>
        </w:rPr>
        <w:t>vlastnického práva na uživatele.</w:t>
      </w:r>
    </w:p>
    <w:p w:rsidR="00B62A1C" w:rsidRPr="00747F37" w:rsidRDefault="00B62A1C" w:rsidP="00747F37">
      <w:pPr>
        <w:autoSpaceDE w:val="0"/>
        <w:autoSpaceDN w:val="0"/>
        <w:adjustRightInd w:val="0"/>
        <w:jc w:val="both"/>
        <w:rPr>
          <w:rFonts w:asciiTheme="minorHAnsi" w:hAnsiTheme="minorHAnsi" w:cs="MyriadPro-Regular"/>
          <w:lang w:eastAsia="en-US"/>
        </w:rPr>
      </w:pPr>
    </w:p>
    <w:p w:rsidR="00B62A1C" w:rsidRPr="008112CD" w:rsidRDefault="00B62A1C" w:rsidP="008112CD">
      <w:pPr>
        <w:pStyle w:val="Odstavecseseznamem"/>
        <w:numPr>
          <w:ilvl w:val="0"/>
          <w:numId w:val="40"/>
        </w:numPr>
        <w:autoSpaceDE w:val="0"/>
        <w:autoSpaceDN w:val="0"/>
        <w:adjustRightInd w:val="0"/>
        <w:rPr>
          <w:rFonts w:asciiTheme="minorHAnsi" w:hAnsiTheme="minorHAnsi" w:cs="MyriadPro-Bold"/>
          <w:b/>
          <w:bCs/>
          <w:sz w:val="24"/>
          <w:szCs w:val="24"/>
          <w:u w:val="single"/>
          <w:lang w:eastAsia="en-US"/>
        </w:rPr>
      </w:pPr>
      <w:r w:rsidRPr="008112CD">
        <w:rPr>
          <w:rFonts w:asciiTheme="minorHAnsi" w:hAnsiTheme="minorHAnsi" w:cs="MyriadPro-Bold"/>
          <w:b/>
          <w:bCs/>
          <w:sz w:val="24"/>
          <w:szCs w:val="24"/>
          <w:u w:val="single"/>
          <w:lang w:eastAsia="en-US"/>
        </w:rPr>
        <w:t xml:space="preserve">Vyrovnání a úprava odpočtu daně </w:t>
      </w:r>
    </w:p>
    <w:p w:rsidR="00CC1118" w:rsidRPr="00CC1118" w:rsidRDefault="00CC1118" w:rsidP="00B62A1C">
      <w:pPr>
        <w:autoSpaceDE w:val="0"/>
        <w:autoSpaceDN w:val="0"/>
        <w:adjustRightInd w:val="0"/>
        <w:rPr>
          <w:rFonts w:asciiTheme="minorHAnsi" w:hAnsiTheme="minorHAnsi" w:cs="MyriadPro-Bold"/>
          <w:b/>
          <w:bCs/>
          <w:sz w:val="24"/>
          <w:szCs w:val="24"/>
          <w:u w:val="single"/>
          <w:lang w:eastAsia="en-US"/>
        </w:rPr>
      </w:pPr>
    </w:p>
    <w:p w:rsidR="00B62A1C" w:rsidRPr="00CC1118" w:rsidRDefault="00B62A1C" w:rsidP="00CC1118">
      <w:pPr>
        <w:autoSpaceDE w:val="0"/>
        <w:autoSpaceDN w:val="0"/>
        <w:adjustRightInd w:val="0"/>
        <w:jc w:val="both"/>
        <w:rPr>
          <w:rFonts w:asciiTheme="minorHAnsi" w:hAnsiTheme="minorHAnsi" w:cs="MyriadPro-Bold"/>
          <w:bCs/>
          <w:lang w:eastAsia="en-US"/>
        </w:rPr>
      </w:pPr>
      <w:r w:rsidRPr="00CC1118">
        <w:rPr>
          <w:rFonts w:asciiTheme="minorHAnsi" w:hAnsiTheme="minorHAnsi" w:cs="MyriadPro-Bold"/>
          <w:bCs/>
          <w:lang w:eastAsia="en-US"/>
        </w:rPr>
        <w:t xml:space="preserve">Vyrovnání nebo úpravu </w:t>
      </w:r>
      <w:r w:rsidRPr="00CC1118">
        <w:rPr>
          <w:rFonts w:asciiTheme="minorHAnsi" w:hAnsiTheme="minorHAnsi" w:cs="MyriadPro-Regular"/>
          <w:lang w:eastAsia="en-US"/>
        </w:rPr>
        <w:t xml:space="preserve">původně uplatněného </w:t>
      </w:r>
      <w:r w:rsidRPr="00CC1118">
        <w:rPr>
          <w:rFonts w:asciiTheme="minorHAnsi" w:hAnsiTheme="minorHAnsi" w:cs="MyriadPro-Bold"/>
          <w:bCs/>
          <w:lang w:eastAsia="en-US"/>
        </w:rPr>
        <w:t xml:space="preserve">odpočtu daně </w:t>
      </w:r>
      <w:r w:rsidRPr="00CC1118">
        <w:rPr>
          <w:rFonts w:asciiTheme="minorHAnsi" w:hAnsiTheme="minorHAnsi" w:cs="MyriadPro-Regular"/>
          <w:lang w:eastAsia="en-US"/>
        </w:rPr>
        <w:t xml:space="preserve">je plátce povinen provést </w:t>
      </w:r>
      <w:r w:rsidRPr="00CC1118">
        <w:rPr>
          <w:rFonts w:asciiTheme="minorHAnsi" w:hAnsiTheme="minorHAnsi" w:cs="MyriadPro-Bold"/>
          <w:bCs/>
          <w:lang w:eastAsia="en-US"/>
        </w:rPr>
        <w:t>při nedoložených případech zničení, ztráty či odcizení obchodního majetku</w:t>
      </w:r>
      <w:r w:rsidRPr="00CC1118">
        <w:rPr>
          <w:rFonts w:asciiTheme="minorHAnsi" w:hAnsiTheme="minorHAnsi" w:cs="MyriadPro-Regular"/>
          <w:lang w:eastAsia="en-US"/>
        </w:rPr>
        <w:t>.</w:t>
      </w:r>
    </w:p>
    <w:p w:rsidR="005A70F3" w:rsidRPr="008112CD" w:rsidRDefault="005A70F3" w:rsidP="008112CD">
      <w:pPr>
        <w:pStyle w:val="Odstavecseseznamem"/>
        <w:numPr>
          <w:ilvl w:val="0"/>
          <w:numId w:val="40"/>
        </w:numPr>
        <w:spacing w:before="100" w:beforeAutospacing="1" w:after="100" w:afterAutospacing="1"/>
        <w:rPr>
          <w:rFonts w:asciiTheme="minorHAnsi" w:hAnsiTheme="minorHAnsi"/>
          <w:b/>
          <w:sz w:val="24"/>
          <w:szCs w:val="24"/>
          <w:u w:val="single"/>
        </w:rPr>
      </w:pPr>
      <w:r w:rsidRPr="008112CD">
        <w:rPr>
          <w:rFonts w:asciiTheme="minorHAnsi" w:hAnsiTheme="minorHAnsi"/>
          <w:b/>
          <w:sz w:val="24"/>
          <w:szCs w:val="24"/>
          <w:u w:val="single"/>
        </w:rPr>
        <w:t xml:space="preserve">Rozšíření </w:t>
      </w:r>
      <w:r w:rsidR="00A6786D" w:rsidRPr="008112CD">
        <w:rPr>
          <w:rFonts w:asciiTheme="minorHAnsi" w:hAnsiTheme="minorHAnsi"/>
          <w:b/>
          <w:sz w:val="24"/>
          <w:szCs w:val="24"/>
          <w:u w:val="single"/>
        </w:rPr>
        <w:t>přenesení daňové povinnosti</w:t>
      </w:r>
    </w:p>
    <w:p w:rsidR="00A6786D" w:rsidRDefault="00CC1118" w:rsidP="00CC1118">
      <w:pPr>
        <w:rPr>
          <w:rFonts w:asciiTheme="minorHAnsi" w:hAnsiTheme="minorHAnsi" w:cs="Arial"/>
        </w:rPr>
      </w:pPr>
      <w:r w:rsidRPr="00CC1118">
        <w:rPr>
          <w:rFonts w:asciiTheme="minorHAnsi" w:hAnsiTheme="minorHAnsi" w:cs="Arial"/>
        </w:rPr>
        <w:t xml:space="preserve">Dochází k dalšímu </w:t>
      </w:r>
      <w:r w:rsidR="00EA39F0" w:rsidRPr="00CC1118">
        <w:rPr>
          <w:rFonts w:asciiTheme="minorHAnsi" w:hAnsiTheme="minorHAnsi" w:cs="Arial"/>
        </w:rPr>
        <w:t>rozšíření režimu přenesení daňové povinnosti (tzv. reverse charge) na poslední skupiny komodit, u kterých to směrnice EU v oblasti DPH výslovně umožňuje</w:t>
      </w:r>
      <w:r w:rsidR="00A6786D" w:rsidRPr="00CC1118">
        <w:rPr>
          <w:rFonts w:asciiTheme="minorHAnsi" w:hAnsiTheme="minorHAnsi" w:cs="Arial"/>
        </w:rPr>
        <w:t>:</w:t>
      </w:r>
    </w:p>
    <w:p w:rsidR="0023777C" w:rsidRPr="00CC1118" w:rsidRDefault="0023777C" w:rsidP="00CC1118">
      <w:pPr>
        <w:rPr>
          <w:rFonts w:asciiTheme="minorHAnsi" w:hAnsiTheme="minorHAnsi" w:cs="MyriadPro-Bold"/>
          <w:b/>
          <w:bCs/>
          <w:lang w:eastAsia="en-US"/>
        </w:rPr>
      </w:pPr>
    </w:p>
    <w:p w:rsidR="00A6786D" w:rsidRPr="007E111D" w:rsidRDefault="00A6786D" w:rsidP="007E111D">
      <w:pPr>
        <w:pStyle w:val="Odstavecseseznamem"/>
        <w:numPr>
          <w:ilvl w:val="0"/>
          <w:numId w:val="36"/>
        </w:numPr>
        <w:autoSpaceDE w:val="0"/>
        <w:autoSpaceDN w:val="0"/>
        <w:adjustRightInd w:val="0"/>
        <w:jc w:val="both"/>
        <w:rPr>
          <w:rFonts w:asciiTheme="minorHAnsi" w:hAnsiTheme="minorHAnsi" w:cs="MyriadPro-Bold"/>
          <w:bCs/>
          <w:lang w:eastAsia="en-US"/>
        </w:rPr>
      </w:pPr>
      <w:r w:rsidRPr="007E111D">
        <w:rPr>
          <w:rFonts w:asciiTheme="minorHAnsi" w:hAnsiTheme="minorHAnsi" w:cs="MyriadPro-Bold"/>
          <w:bCs/>
          <w:lang w:eastAsia="en-US"/>
        </w:rPr>
        <w:t>při poskytnutí zprostředkovatelské služby, která spočívá v obstarání dodání investičního zlata</w:t>
      </w:r>
      <w:r w:rsidR="00362961" w:rsidRPr="002820C2">
        <w:rPr>
          <w:rFonts w:asciiTheme="minorHAnsi" w:hAnsiTheme="minorHAnsi" w:cs="MyriadPro-Regular"/>
          <w:lang w:eastAsia="en-US"/>
        </w:rPr>
        <w:t>;</w:t>
      </w:r>
    </w:p>
    <w:p w:rsidR="00A6786D" w:rsidRPr="007E111D" w:rsidRDefault="00A6786D" w:rsidP="007E111D">
      <w:pPr>
        <w:pStyle w:val="Odstavecseseznamem"/>
        <w:numPr>
          <w:ilvl w:val="0"/>
          <w:numId w:val="36"/>
        </w:numPr>
        <w:autoSpaceDE w:val="0"/>
        <w:autoSpaceDN w:val="0"/>
        <w:adjustRightInd w:val="0"/>
        <w:jc w:val="both"/>
        <w:rPr>
          <w:rFonts w:asciiTheme="minorHAnsi" w:hAnsiTheme="minorHAnsi" w:cs="MyriadPro-Bold"/>
          <w:bCs/>
          <w:lang w:eastAsia="en-US"/>
        </w:rPr>
      </w:pPr>
      <w:r w:rsidRPr="007E111D">
        <w:rPr>
          <w:rFonts w:asciiTheme="minorHAnsi" w:hAnsiTheme="minorHAnsi" w:cs="MyriadPro-Bold"/>
          <w:bCs/>
          <w:lang w:eastAsia="en-US"/>
        </w:rPr>
        <w:t>při dodání nemovité věci prodávané dlužníkem z rozhodnutí soudu v řízení o nuceném prodeji plátci</w:t>
      </w:r>
      <w:r w:rsidR="00362961" w:rsidRPr="002820C2">
        <w:rPr>
          <w:rFonts w:asciiTheme="minorHAnsi" w:hAnsiTheme="minorHAnsi" w:cs="MyriadPro-Regular"/>
          <w:lang w:eastAsia="en-US"/>
        </w:rPr>
        <w:t>;</w:t>
      </w:r>
    </w:p>
    <w:p w:rsidR="00A6786D" w:rsidRPr="007E111D" w:rsidRDefault="00A6786D" w:rsidP="007E111D">
      <w:pPr>
        <w:pStyle w:val="Odstavecseseznamem"/>
        <w:numPr>
          <w:ilvl w:val="0"/>
          <w:numId w:val="36"/>
        </w:numPr>
        <w:autoSpaceDE w:val="0"/>
        <w:autoSpaceDN w:val="0"/>
        <w:adjustRightInd w:val="0"/>
        <w:jc w:val="both"/>
        <w:rPr>
          <w:rFonts w:asciiTheme="minorHAnsi" w:hAnsiTheme="minorHAnsi" w:cs="MyriadPro-Bold"/>
          <w:bCs/>
          <w:lang w:eastAsia="en-US"/>
        </w:rPr>
      </w:pPr>
      <w:r w:rsidRPr="007E111D">
        <w:rPr>
          <w:rFonts w:asciiTheme="minorHAnsi" w:hAnsiTheme="minorHAnsi" w:cs="MyriadPro-Bold"/>
          <w:bCs/>
          <w:lang w:eastAsia="en-US"/>
        </w:rPr>
        <w:t>při poskytnutí pracovníků pro stavební nebo montážní práce plátci</w:t>
      </w:r>
      <w:r w:rsidR="00362961" w:rsidRPr="002820C2">
        <w:rPr>
          <w:rFonts w:asciiTheme="minorHAnsi" w:hAnsiTheme="minorHAnsi" w:cs="MyriadPro-Regular"/>
          <w:lang w:eastAsia="en-US"/>
        </w:rPr>
        <w:t>;</w:t>
      </w:r>
    </w:p>
    <w:p w:rsidR="00A6786D" w:rsidRPr="007E111D" w:rsidRDefault="00A6786D" w:rsidP="007E111D">
      <w:pPr>
        <w:pStyle w:val="Odstavecseseznamem"/>
        <w:numPr>
          <w:ilvl w:val="0"/>
          <w:numId w:val="36"/>
        </w:numPr>
        <w:autoSpaceDE w:val="0"/>
        <w:autoSpaceDN w:val="0"/>
        <w:adjustRightInd w:val="0"/>
        <w:jc w:val="both"/>
        <w:rPr>
          <w:rFonts w:asciiTheme="minorHAnsi" w:hAnsiTheme="minorHAnsi" w:cs="MyriadPro-Bold"/>
          <w:bCs/>
          <w:lang w:eastAsia="en-US"/>
        </w:rPr>
      </w:pPr>
      <w:r w:rsidRPr="007E111D">
        <w:rPr>
          <w:rFonts w:asciiTheme="minorHAnsi" w:hAnsiTheme="minorHAnsi" w:cs="MyriadPro-Bold"/>
          <w:bCs/>
          <w:lang w:eastAsia="en-US"/>
        </w:rPr>
        <w:t>při dodání zboží poskytovaného jako záruka při realizaci této záruky</w:t>
      </w:r>
      <w:r w:rsidR="00362961" w:rsidRPr="002820C2">
        <w:rPr>
          <w:rFonts w:asciiTheme="minorHAnsi" w:hAnsiTheme="minorHAnsi" w:cs="MyriadPro-Regular"/>
          <w:lang w:eastAsia="en-US"/>
        </w:rPr>
        <w:t>;</w:t>
      </w:r>
    </w:p>
    <w:p w:rsidR="00A6786D" w:rsidRPr="007E111D" w:rsidRDefault="00A6786D" w:rsidP="007E111D">
      <w:pPr>
        <w:pStyle w:val="Odstavecseseznamem"/>
        <w:numPr>
          <w:ilvl w:val="0"/>
          <w:numId w:val="36"/>
        </w:numPr>
        <w:jc w:val="both"/>
        <w:rPr>
          <w:rFonts w:asciiTheme="minorHAnsi" w:hAnsiTheme="minorHAnsi"/>
        </w:rPr>
      </w:pPr>
      <w:r w:rsidRPr="007E111D">
        <w:rPr>
          <w:rFonts w:asciiTheme="minorHAnsi" w:hAnsiTheme="minorHAnsi" w:cs="MyriadPro-Bold"/>
          <w:bCs/>
          <w:lang w:eastAsia="en-US"/>
        </w:rPr>
        <w:t>při dodání zboží po postoupení výhrady vlastnictví nabyvateli a výkonu tohoto práva nabyvatelem</w:t>
      </w:r>
      <w:r w:rsidR="00CC1118" w:rsidRPr="007E111D">
        <w:rPr>
          <w:rFonts w:asciiTheme="minorHAnsi" w:hAnsiTheme="minorHAnsi" w:cs="MyriadPro-Bold"/>
          <w:bCs/>
          <w:lang w:eastAsia="en-US"/>
        </w:rPr>
        <w:t>.</w:t>
      </w:r>
    </w:p>
    <w:p w:rsidR="00CC1118" w:rsidRPr="00CC1118" w:rsidRDefault="00CC1118" w:rsidP="00CC1118">
      <w:pPr>
        <w:rPr>
          <w:rFonts w:asciiTheme="minorHAnsi" w:hAnsiTheme="minorHAnsi"/>
        </w:rPr>
      </w:pPr>
    </w:p>
    <w:p w:rsidR="00A6786D" w:rsidRPr="008112CD" w:rsidRDefault="00CC1118" w:rsidP="008112CD">
      <w:pPr>
        <w:pStyle w:val="Odstavecseseznamem"/>
        <w:numPr>
          <w:ilvl w:val="0"/>
          <w:numId w:val="40"/>
        </w:numPr>
        <w:autoSpaceDE w:val="0"/>
        <w:autoSpaceDN w:val="0"/>
        <w:adjustRightInd w:val="0"/>
        <w:rPr>
          <w:rFonts w:asciiTheme="minorHAnsi" w:hAnsiTheme="minorHAnsi" w:cs="MyriadPro-Bold"/>
          <w:b/>
          <w:bCs/>
          <w:sz w:val="24"/>
          <w:szCs w:val="24"/>
          <w:u w:val="single"/>
          <w:lang w:eastAsia="en-US"/>
        </w:rPr>
      </w:pPr>
      <w:r w:rsidRPr="008112CD">
        <w:rPr>
          <w:rFonts w:asciiTheme="minorHAnsi" w:hAnsiTheme="minorHAnsi" w:cs="MyriadPro-Bold"/>
          <w:b/>
          <w:bCs/>
          <w:sz w:val="24"/>
          <w:szCs w:val="24"/>
          <w:u w:val="single"/>
          <w:lang w:eastAsia="en-US"/>
        </w:rPr>
        <w:t>Změny u</w:t>
      </w:r>
      <w:r w:rsidR="00A6786D" w:rsidRPr="008112CD">
        <w:rPr>
          <w:rFonts w:asciiTheme="minorHAnsi" w:hAnsiTheme="minorHAnsi" w:cs="MyriadPro-Bold"/>
          <w:b/>
          <w:bCs/>
          <w:sz w:val="24"/>
          <w:szCs w:val="24"/>
          <w:u w:val="single"/>
          <w:lang w:eastAsia="en-US"/>
        </w:rPr>
        <w:t xml:space="preserve"> skupinov</w:t>
      </w:r>
      <w:r w:rsidRPr="008112CD">
        <w:rPr>
          <w:rFonts w:asciiTheme="minorHAnsi" w:hAnsiTheme="minorHAnsi" w:cs="MyriadPro-Bold"/>
          <w:b/>
          <w:bCs/>
          <w:sz w:val="24"/>
          <w:szCs w:val="24"/>
          <w:u w:val="single"/>
          <w:lang w:eastAsia="en-US"/>
        </w:rPr>
        <w:t>é</w:t>
      </w:r>
      <w:r w:rsidR="00A6786D" w:rsidRPr="008112CD">
        <w:rPr>
          <w:rFonts w:asciiTheme="minorHAnsi" w:hAnsiTheme="minorHAnsi" w:cs="MyriadPro-Bold"/>
          <w:b/>
          <w:bCs/>
          <w:sz w:val="24"/>
          <w:szCs w:val="24"/>
          <w:u w:val="single"/>
          <w:lang w:eastAsia="en-US"/>
        </w:rPr>
        <w:t xml:space="preserve"> </w:t>
      </w:r>
      <w:r w:rsidR="00B21464">
        <w:rPr>
          <w:rFonts w:asciiTheme="minorHAnsi" w:hAnsiTheme="minorHAnsi" w:cs="MyriadPro-Bold"/>
          <w:b/>
          <w:bCs/>
          <w:sz w:val="24"/>
          <w:szCs w:val="24"/>
          <w:u w:val="single"/>
          <w:lang w:eastAsia="en-US"/>
        </w:rPr>
        <w:t xml:space="preserve">daňové </w:t>
      </w:r>
      <w:r w:rsidR="00A6786D" w:rsidRPr="008112CD">
        <w:rPr>
          <w:rFonts w:asciiTheme="minorHAnsi" w:hAnsiTheme="minorHAnsi" w:cs="MyriadPro-Bold"/>
          <w:b/>
          <w:bCs/>
          <w:sz w:val="24"/>
          <w:szCs w:val="24"/>
          <w:u w:val="single"/>
          <w:lang w:eastAsia="en-US"/>
        </w:rPr>
        <w:t xml:space="preserve">registrace </w:t>
      </w:r>
    </w:p>
    <w:p w:rsidR="00CC1118" w:rsidRPr="00CC1118" w:rsidRDefault="00CC1118" w:rsidP="00A6786D">
      <w:pPr>
        <w:autoSpaceDE w:val="0"/>
        <w:autoSpaceDN w:val="0"/>
        <w:adjustRightInd w:val="0"/>
        <w:rPr>
          <w:rFonts w:asciiTheme="minorHAnsi" w:hAnsiTheme="minorHAnsi" w:cs="MyriadPro-Bold"/>
          <w:b/>
          <w:bCs/>
          <w:sz w:val="24"/>
          <w:szCs w:val="24"/>
          <w:u w:val="single"/>
          <w:lang w:eastAsia="en-US"/>
        </w:rPr>
      </w:pPr>
    </w:p>
    <w:p w:rsidR="00CC1118" w:rsidRPr="00CC1118" w:rsidRDefault="00CC1118" w:rsidP="00CC1118">
      <w:pPr>
        <w:autoSpaceDE w:val="0"/>
        <w:autoSpaceDN w:val="0"/>
        <w:adjustRightInd w:val="0"/>
        <w:jc w:val="both"/>
        <w:rPr>
          <w:rFonts w:asciiTheme="minorHAnsi" w:hAnsiTheme="minorHAnsi" w:cs="MyriadPro-Regular"/>
          <w:lang w:eastAsia="en-US"/>
        </w:rPr>
      </w:pPr>
      <w:r w:rsidRPr="00CC1118">
        <w:rPr>
          <w:rFonts w:asciiTheme="minorHAnsi" w:hAnsiTheme="minorHAnsi" w:cs="MyriadPro-Regular"/>
          <w:lang w:eastAsia="en-US"/>
        </w:rPr>
        <w:t xml:space="preserve">Za práva a povinnosti skupiny vyplývající z daňových zákonů </w:t>
      </w:r>
      <w:r w:rsidRPr="00CC1118">
        <w:rPr>
          <w:rFonts w:asciiTheme="minorHAnsi" w:hAnsiTheme="minorHAnsi" w:cs="MyriadPro-Bold"/>
          <w:b/>
          <w:bCs/>
          <w:lang w:eastAsia="en-US"/>
        </w:rPr>
        <w:t>odpovídají společně a nerozdílně členové skupiny</w:t>
      </w:r>
      <w:r w:rsidRPr="00CC1118">
        <w:rPr>
          <w:rFonts w:asciiTheme="minorHAnsi" w:hAnsiTheme="minorHAnsi" w:cs="MyriadPro-Regular"/>
          <w:lang w:eastAsia="en-US"/>
        </w:rPr>
        <w:t>, a to jak za</w:t>
      </w:r>
      <w:r>
        <w:rPr>
          <w:rFonts w:asciiTheme="minorHAnsi" w:hAnsiTheme="minorHAnsi" w:cs="MyriadPro-Regular"/>
          <w:lang w:eastAsia="en-US"/>
        </w:rPr>
        <w:t xml:space="preserve"> </w:t>
      </w:r>
      <w:r w:rsidRPr="00CC1118">
        <w:rPr>
          <w:rFonts w:asciiTheme="minorHAnsi" w:hAnsiTheme="minorHAnsi" w:cs="MyriadPro-Regular"/>
          <w:lang w:eastAsia="en-US"/>
        </w:rPr>
        <w:t>doby existence skupiny, tak po jejím zrušení či po zániku jejich členství ve skupině. Toto platí jak pro hmotněprávní povinnosti,</w:t>
      </w:r>
      <w:r>
        <w:rPr>
          <w:rFonts w:asciiTheme="minorHAnsi" w:hAnsiTheme="minorHAnsi" w:cs="MyriadPro-Regular"/>
          <w:lang w:eastAsia="en-US"/>
        </w:rPr>
        <w:t xml:space="preserve"> </w:t>
      </w:r>
      <w:r w:rsidRPr="00CC1118">
        <w:rPr>
          <w:rFonts w:asciiTheme="minorHAnsi" w:hAnsiTheme="minorHAnsi" w:cs="MyriadPro-Regular"/>
          <w:lang w:eastAsia="en-US"/>
        </w:rPr>
        <w:t xml:space="preserve">tak i pro povinnosti procesní povahy, v rovině nalézací </w:t>
      </w:r>
      <w:r w:rsidR="009A425A">
        <w:rPr>
          <w:rFonts w:asciiTheme="minorHAnsi" w:hAnsiTheme="minorHAnsi" w:cs="MyriadPro-Regular"/>
          <w:lang w:eastAsia="en-US"/>
        </w:rPr>
        <w:br/>
      </w:r>
      <w:r w:rsidRPr="00CC1118">
        <w:rPr>
          <w:rFonts w:asciiTheme="minorHAnsi" w:hAnsiTheme="minorHAnsi" w:cs="MyriadPro-Regular"/>
          <w:lang w:eastAsia="en-US"/>
        </w:rPr>
        <w:t>i v rovině platební či vymáhací.</w:t>
      </w:r>
      <w:r>
        <w:rPr>
          <w:rFonts w:asciiTheme="minorHAnsi" w:hAnsiTheme="minorHAnsi" w:cs="MyriadPro-Regular"/>
          <w:lang w:eastAsia="en-US"/>
        </w:rPr>
        <w:t xml:space="preserve"> </w:t>
      </w:r>
      <w:r w:rsidRPr="00CC1118">
        <w:rPr>
          <w:rFonts w:asciiTheme="minorHAnsi" w:hAnsiTheme="minorHAnsi" w:cs="MyriadPro-Regular"/>
          <w:lang w:eastAsia="en-US"/>
        </w:rPr>
        <w:t>Osoba, na kterou při přeměně člena skupiny (rozdělením, které má formu odštěpení), který při přeměně nezaniká, přechází</w:t>
      </w:r>
      <w:r>
        <w:rPr>
          <w:rFonts w:asciiTheme="minorHAnsi" w:hAnsiTheme="minorHAnsi" w:cs="MyriadPro-Regular"/>
          <w:lang w:eastAsia="en-US"/>
        </w:rPr>
        <w:t xml:space="preserve"> </w:t>
      </w:r>
      <w:r w:rsidRPr="00CC1118">
        <w:rPr>
          <w:rFonts w:asciiTheme="minorHAnsi" w:hAnsiTheme="minorHAnsi" w:cs="MyriadPro-Regular"/>
          <w:lang w:eastAsia="en-US"/>
        </w:rPr>
        <w:t xml:space="preserve">nebo je převáděno jeho jmění, a která je </w:t>
      </w:r>
      <w:r w:rsidR="009A425A">
        <w:rPr>
          <w:rFonts w:asciiTheme="minorHAnsi" w:hAnsiTheme="minorHAnsi" w:cs="MyriadPro-Regular"/>
          <w:lang w:eastAsia="en-US"/>
        </w:rPr>
        <w:br/>
      </w:r>
      <w:r w:rsidRPr="00CC1118">
        <w:rPr>
          <w:rFonts w:asciiTheme="minorHAnsi" w:hAnsiTheme="minorHAnsi" w:cs="MyriadPro-Regular"/>
          <w:lang w:eastAsia="en-US"/>
        </w:rPr>
        <w:t>v okamžiku přeměny nově vzniklou osobou, se stává členem skupiny.</w:t>
      </w:r>
    </w:p>
    <w:p w:rsidR="00CC1118" w:rsidRPr="00CC1118" w:rsidRDefault="00CC1118" w:rsidP="00CC1118">
      <w:pPr>
        <w:autoSpaceDE w:val="0"/>
        <w:autoSpaceDN w:val="0"/>
        <w:adjustRightInd w:val="0"/>
        <w:jc w:val="both"/>
        <w:rPr>
          <w:rFonts w:asciiTheme="minorHAnsi" w:hAnsiTheme="minorHAnsi" w:cs="MyriadPro-Bold"/>
          <w:b/>
          <w:bCs/>
          <w:lang w:eastAsia="en-US"/>
        </w:rPr>
      </w:pPr>
    </w:p>
    <w:p w:rsidR="00A6786D" w:rsidRPr="00B21464" w:rsidRDefault="00A6786D" w:rsidP="00B21464">
      <w:pPr>
        <w:pStyle w:val="Odstavecseseznamem"/>
        <w:numPr>
          <w:ilvl w:val="0"/>
          <w:numId w:val="40"/>
        </w:numPr>
        <w:autoSpaceDE w:val="0"/>
        <w:autoSpaceDN w:val="0"/>
        <w:adjustRightInd w:val="0"/>
        <w:rPr>
          <w:rFonts w:asciiTheme="minorHAnsi" w:hAnsiTheme="minorHAnsi" w:cs="MyriadPro-Bold"/>
          <w:b/>
          <w:bCs/>
          <w:sz w:val="24"/>
          <w:szCs w:val="24"/>
          <w:u w:val="single"/>
          <w:lang w:eastAsia="en-US"/>
        </w:rPr>
      </w:pPr>
      <w:r w:rsidRPr="00B21464">
        <w:rPr>
          <w:rFonts w:asciiTheme="minorHAnsi" w:hAnsiTheme="minorHAnsi" w:cs="MyriadPro-Bold"/>
          <w:b/>
          <w:bCs/>
          <w:sz w:val="24"/>
          <w:szCs w:val="24"/>
          <w:u w:val="single"/>
          <w:lang w:eastAsia="en-US"/>
        </w:rPr>
        <w:t xml:space="preserve">Podávání daňového přiznání v insolvenci </w:t>
      </w:r>
    </w:p>
    <w:p w:rsidR="00CC1118" w:rsidRPr="00A6786D" w:rsidRDefault="00CC1118" w:rsidP="00A6786D">
      <w:pPr>
        <w:autoSpaceDE w:val="0"/>
        <w:autoSpaceDN w:val="0"/>
        <w:adjustRightInd w:val="0"/>
        <w:rPr>
          <w:rFonts w:ascii="MyriadPro-Bold" w:hAnsi="MyriadPro-Bold" w:cs="MyriadPro-Bold"/>
          <w:b/>
          <w:bCs/>
          <w:sz w:val="26"/>
          <w:szCs w:val="26"/>
          <w:lang w:eastAsia="en-US"/>
        </w:rPr>
      </w:pPr>
    </w:p>
    <w:p w:rsidR="00CC1118" w:rsidRPr="00CC1118" w:rsidRDefault="00CC1118" w:rsidP="00CC1118">
      <w:pPr>
        <w:autoSpaceDE w:val="0"/>
        <w:autoSpaceDN w:val="0"/>
        <w:adjustRightInd w:val="0"/>
        <w:jc w:val="both"/>
        <w:rPr>
          <w:rFonts w:asciiTheme="minorHAnsi" w:hAnsiTheme="minorHAnsi" w:cs="ArialMT"/>
          <w:lang w:eastAsia="en-US"/>
        </w:rPr>
      </w:pPr>
      <w:r w:rsidRPr="00CC1118">
        <w:rPr>
          <w:rFonts w:asciiTheme="minorHAnsi" w:hAnsiTheme="minorHAnsi" w:cs="ArialMT"/>
          <w:lang w:eastAsia="en-US"/>
        </w:rPr>
        <w:t xml:space="preserve">V případě rozhodnutí o úpadku plátce </w:t>
      </w:r>
      <w:r w:rsidRPr="00CC1118">
        <w:rPr>
          <w:rFonts w:asciiTheme="minorHAnsi" w:hAnsiTheme="minorHAnsi" w:cs="Arial-BoldMT"/>
          <w:b/>
          <w:bCs/>
          <w:lang w:eastAsia="en-US"/>
        </w:rPr>
        <w:t>nedochází ke vzniku samostatných zdaňovacích období</w:t>
      </w:r>
      <w:r w:rsidRPr="00CC1118">
        <w:rPr>
          <w:rFonts w:asciiTheme="minorHAnsi" w:hAnsiTheme="minorHAnsi" w:cs="ArialMT"/>
          <w:lang w:eastAsia="en-US"/>
        </w:rPr>
        <w:t>, ale stávající zdaňovací</w:t>
      </w:r>
      <w:r>
        <w:rPr>
          <w:rFonts w:asciiTheme="minorHAnsi" w:hAnsiTheme="minorHAnsi" w:cs="ArialMT"/>
          <w:lang w:eastAsia="en-US"/>
        </w:rPr>
        <w:t xml:space="preserve"> </w:t>
      </w:r>
      <w:r w:rsidRPr="00CC1118">
        <w:rPr>
          <w:rFonts w:asciiTheme="minorHAnsi" w:hAnsiTheme="minorHAnsi" w:cs="ArialMT"/>
          <w:lang w:eastAsia="en-US"/>
        </w:rPr>
        <w:t>období skončí posledním dnem kalendářního měsíce, ve kterém nastala účinnost rozhodnutí o úpadku. K</w:t>
      </w:r>
      <w:r>
        <w:rPr>
          <w:rFonts w:asciiTheme="minorHAnsi" w:hAnsiTheme="minorHAnsi" w:cs="ArialMT"/>
          <w:lang w:eastAsia="en-US"/>
        </w:rPr>
        <w:t> </w:t>
      </w:r>
      <w:r w:rsidRPr="00CC1118">
        <w:rPr>
          <w:rFonts w:asciiTheme="minorHAnsi" w:hAnsiTheme="minorHAnsi" w:cs="ArialMT"/>
          <w:lang w:eastAsia="en-US"/>
        </w:rPr>
        <w:t>období</w:t>
      </w:r>
      <w:r>
        <w:rPr>
          <w:rFonts w:asciiTheme="minorHAnsi" w:hAnsiTheme="minorHAnsi" w:cs="ArialMT"/>
          <w:lang w:eastAsia="en-US"/>
        </w:rPr>
        <w:t xml:space="preserve"> </w:t>
      </w:r>
      <w:r w:rsidRPr="00CC1118">
        <w:rPr>
          <w:rFonts w:asciiTheme="minorHAnsi" w:hAnsiTheme="minorHAnsi" w:cs="ArialMT"/>
          <w:lang w:eastAsia="en-US"/>
        </w:rPr>
        <w:t>před účinností rozhodnutí o úpadku se váže povinnost podání daňového přiznání do 30 dnů od tohoto dne. Daňové přiznání za zbývající část zdaňovacího</w:t>
      </w:r>
      <w:r>
        <w:rPr>
          <w:rFonts w:asciiTheme="minorHAnsi" w:hAnsiTheme="minorHAnsi" w:cs="ArialMT"/>
          <w:lang w:eastAsia="en-US"/>
        </w:rPr>
        <w:t xml:space="preserve"> </w:t>
      </w:r>
      <w:r w:rsidRPr="00CC1118">
        <w:rPr>
          <w:rFonts w:asciiTheme="minorHAnsi" w:hAnsiTheme="minorHAnsi" w:cs="ArialMT"/>
          <w:lang w:eastAsia="en-US"/>
        </w:rPr>
        <w:t>období se podává v obecné lhůtě 25 dnů po skončení zdaňovacího období nebo ve lhůtě 30 dnů ode dne účinnost rozhodnutí</w:t>
      </w:r>
      <w:r>
        <w:rPr>
          <w:rFonts w:asciiTheme="minorHAnsi" w:hAnsiTheme="minorHAnsi" w:cs="ArialMT"/>
          <w:lang w:eastAsia="en-US"/>
        </w:rPr>
        <w:t xml:space="preserve"> </w:t>
      </w:r>
      <w:r w:rsidRPr="00CC1118">
        <w:rPr>
          <w:rFonts w:asciiTheme="minorHAnsi" w:hAnsiTheme="minorHAnsi" w:cs="ArialMT"/>
          <w:lang w:eastAsia="en-US"/>
        </w:rPr>
        <w:t>o úpadku, pokud by tato lhůta uplynula později</w:t>
      </w:r>
      <w:r w:rsidRPr="00CC1118">
        <w:rPr>
          <w:rFonts w:asciiTheme="minorHAnsi" w:hAnsiTheme="minorHAnsi" w:cs="MyriadPro-Regular"/>
          <w:lang w:eastAsia="en-US"/>
        </w:rPr>
        <w:t>.</w:t>
      </w:r>
    </w:p>
    <w:p w:rsidR="009B00C2" w:rsidRDefault="009B00C2" w:rsidP="008D78FF">
      <w:pPr>
        <w:autoSpaceDE w:val="0"/>
        <w:autoSpaceDN w:val="0"/>
        <w:adjustRightInd w:val="0"/>
        <w:rPr>
          <w:rFonts w:asciiTheme="minorHAnsi" w:hAnsiTheme="minorHAnsi" w:cs="MyriadPro-Bold"/>
          <w:b/>
          <w:bCs/>
          <w:sz w:val="24"/>
          <w:szCs w:val="24"/>
          <w:u w:val="single"/>
          <w:lang w:eastAsia="en-US"/>
        </w:rPr>
      </w:pPr>
    </w:p>
    <w:p w:rsidR="009B00C2" w:rsidRDefault="009B00C2" w:rsidP="008D78FF">
      <w:pPr>
        <w:autoSpaceDE w:val="0"/>
        <w:autoSpaceDN w:val="0"/>
        <w:adjustRightInd w:val="0"/>
        <w:rPr>
          <w:rFonts w:asciiTheme="minorHAnsi" w:hAnsiTheme="minorHAnsi" w:cs="MyriadPro-Bold"/>
          <w:b/>
          <w:bCs/>
          <w:sz w:val="24"/>
          <w:szCs w:val="24"/>
          <w:u w:val="single"/>
          <w:lang w:eastAsia="en-US"/>
        </w:rPr>
      </w:pPr>
    </w:p>
    <w:p w:rsidR="008D78FF" w:rsidRPr="00B21464" w:rsidRDefault="00B21464" w:rsidP="00B21464">
      <w:pPr>
        <w:pStyle w:val="Odstavecseseznamem"/>
        <w:numPr>
          <w:ilvl w:val="0"/>
          <w:numId w:val="40"/>
        </w:numPr>
        <w:autoSpaceDE w:val="0"/>
        <w:autoSpaceDN w:val="0"/>
        <w:adjustRightInd w:val="0"/>
        <w:rPr>
          <w:rFonts w:asciiTheme="minorHAnsi" w:hAnsiTheme="minorHAnsi" w:cs="MyriadPro-Bold"/>
          <w:b/>
          <w:bCs/>
          <w:sz w:val="24"/>
          <w:szCs w:val="24"/>
          <w:u w:val="single"/>
          <w:lang w:eastAsia="en-US"/>
        </w:rPr>
      </w:pPr>
      <w:r>
        <w:rPr>
          <w:rFonts w:asciiTheme="minorHAnsi" w:hAnsiTheme="minorHAnsi" w:cs="MyriadPro-Bold"/>
          <w:b/>
          <w:bCs/>
          <w:sz w:val="24"/>
          <w:szCs w:val="24"/>
          <w:u w:val="single"/>
          <w:lang w:eastAsia="en-US"/>
        </w:rPr>
        <w:t>Změny v o</w:t>
      </w:r>
      <w:r w:rsidR="008D78FF" w:rsidRPr="00B21464">
        <w:rPr>
          <w:rFonts w:asciiTheme="minorHAnsi" w:hAnsiTheme="minorHAnsi" w:cs="MyriadPro-Bold"/>
          <w:b/>
          <w:bCs/>
          <w:sz w:val="24"/>
          <w:szCs w:val="24"/>
          <w:u w:val="single"/>
          <w:lang w:eastAsia="en-US"/>
        </w:rPr>
        <w:t>dpisování majetku</w:t>
      </w:r>
    </w:p>
    <w:p w:rsidR="00553C1F" w:rsidRDefault="00553C1F" w:rsidP="00CC1118">
      <w:pPr>
        <w:autoSpaceDE w:val="0"/>
        <w:autoSpaceDN w:val="0"/>
        <w:adjustRightInd w:val="0"/>
        <w:jc w:val="both"/>
        <w:rPr>
          <w:rFonts w:asciiTheme="minorHAnsi" w:hAnsiTheme="minorHAnsi" w:cs="MyriadPro-Regular"/>
          <w:lang w:eastAsia="en-US"/>
        </w:rPr>
      </w:pPr>
    </w:p>
    <w:p w:rsidR="007E111D" w:rsidRDefault="00553C1F" w:rsidP="007E111D">
      <w:pPr>
        <w:autoSpaceDE w:val="0"/>
        <w:autoSpaceDN w:val="0"/>
        <w:adjustRightInd w:val="0"/>
        <w:jc w:val="both"/>
        <w:rPr>
          <w:rFonts w:asciiTheme="minorHAnsi" w:hAnsiTheme="minorHAnsi" w:cs="MyriadPro-Regular"/>
          <w:lang w:eastAsia="en-US"/>
        </w:rPr>
      </w:pPr>
      <w:r>
        <w:rPr>
          <w:rFonts w:asciiTheme="minorHAnsi" w:hAnsiTheme="minorHAnsi" w:cs="MyriadPro-Regular"/>
          <w:lang w:eastAsia="en-US"/>
        </w:rPr>
        <w:t>Rozšiřuje se</w:t>
      </w:r>
      <w:r w:rsidR="008D78FF" w:rsidRPr="00CC1118">
        <w:rPr>
          <w:rFonts w:asciiTheme="minorHAnsi" w:hAnsiTheme="minorHAnsi" w:cs="MyriadPro-Regular"/>
          <w:lang w:eastAsia="en-US"/>
        </w:rPr>
        <w:t xml:space="preserve"> výčet poplatníků, kteří mají </w:t>
      </w:r>
      <w:r w:rsidR="008D78FF" w:rsidRPr="007E111D">
        <w:rPr>
          <w:rFonts w:asciiTheme="minorHAnsi" w:hAnsiTheme="minorHAnsi" w:cs="MyriadPro-Regular"/>
          <w:b/>
          <w:lang w:eastAsia="en-US"/>
        </w:rPr>
        <w:t>možnost uplatňovat daňové odpisy z technického zhodnocení</w:t>
      </w:r>
      <w:r w:rsidR="007E111D" w:rsidRPr="007E111D">
        <w:rPr>
          <w:rFonts w:asciiTheme="minorHAnsi" w:hAnsiTheme="minorHAnsi" w:cs="MyriadPro-Regular"/>
          <w:b/>
          <w:lang w:eastAsia="en-US"/>
        </w:rPr>
        <w:t xml:space="preserve"> </w:t>
      </w:r>
      <w:r w:rsidR="008D78FF" w:rsidRPr="007E111D">
        <w:rPr>
          <w:rFonts w:asciiTheme="minorHAnsi" w:hAnsiTheme="minorHAnsi" w:cs="MyriadPro-Regular"/>
          <w:b/>
          <w:lang w:eastAsia="en-US"/>
        </w:rPr>
        <w:t>provedeného na cizím majetku</w:t>
      </w:r>
      <w:r w:rsidR="008D78FF" w:rsidRPr="00CC1118">
        <w:rPr>
          <w:rFonts w:asciiTheme="minorHAnsi" w:hAnsiTheme="minorHAnsi" w:cs="MyriadPro-Regular"/>
          <w:lang w:eastAsia="en-US"/>
        </w:rPr>
        <w:t>. Kromě nájemce a uživatele u finančního leasingu může daňové odpisy uplatňovat</w:t>
      </w:r>
      <w:r w:rsidR="007E111D">
        <w:rPr>
          <w:rFonts w:asciiTheme="minorHAnsi" w:hAnsiTheme="minorHAnsi" w:cs="MyriadPro-Regular"/>
          <w:lang w:eastAsia="en-US"/>
        </w:rPr>
        <w:t xml:space="preserve"> </w:t>
      </w:r>
      <w:r w:rsidR="008D78FF" w:rsidRPr="00CC1118">
        <w:rPr>
          <w:rFonts w:asciiTheme="minorHAnsi" w:hAnsiTheme="minorHAnsi" w:cs="MyriadPro-Regular"/>
          <w:lang w:eastAsia="en-US"/>
        </w:rPr>
        <w:t>i poplatník, kterému byl přenechán majetek k užívání (např. podnájemce), a to za obdobných podmínek jako u technického</w:t>
      </w:r>
      <w:r w:rsidR="007E111D">
        <w:rPr>
          <w:rFonts w:asciiTheme="minorHAnsi" w:hAnsiTheme="minorHAnsi" w:cs="MyriadPro-Regular"/>
          <w:lang w:eastAsia="en-US"/>
        </w:rPr>
        <w:t xml:space="preserve"> </w:t>
      </w:r>
      <w:r w:rsidR="008D78FF" w:rsidRPr="00CC1118">
        <w:rPr>
          <w:rFonts w:asciiTheme="minorHAnsi" w:hAnsiTheme="minorHAnsi" w:cs="MyriadPro-Regular"/>
          <w:lang w:eastAsia="en-US"/>
        </w:rPr>
        <w:t>zhodnocení provedeného nájemcem:</w:t>
      </w:r>
    </w:p>
    <w:p w:rsidR="00362961" w:rsidRDefault="00362961" w:rsidP="007E111D">
      <w:pPr>
        <w:autoSpaceDE w:val="0"/>
        <w:autoSpaceDN w:val="0"/>
        <w:adjustRightInd w:val="0"/>
        <w:jc w:val="both"/>
        <w:rPr>
          <w:rFonts w:asciiTheme="minorHAnsi" w:hAnsiTheme="minorHAnsi" w:cs="MyriadPro-Regular"/>
          <w:lang w:eastAsia="en-US"/>
        </w:rPr>
      </w:pPr>
    </w:p>
    <w:p w:rsidR="007E111D" w:rsidRPr="00794FD2" w:rsidRDefault="008D78FF" w:rsidP="00794FD2">
      <w:pPr>
        <w:pStyle w:val="Odstavecseseznamem"/>
        <w:numPr>
          <w:ilvl w:val="0"/>
          <w:numId w:val="36"/>
        </w:numPr>
        <w:autoSpaceDE w:val="0"/>
        <w:autoSpaceDN w:val="0"/>
        <w:adjustRightInd w:val="0"/>
        <w:jc w:val="both"/>
        <w:rPr>
          <w:rFonts w:asciiTheme="minorHAnsi" w:hAnsiTheme="minorHAnsi" w:cs="MyriadPro-Bold"/>
          <w:bCs/>
          <w:lang w:eastAsia="en-US"/>
        </w:rPr>
      </w:pPr>
      <w:r w:rsidRPr="00794FD2">
        <w:rPr>
          <w:rFonts w:asciiTheme="minorHAnsi" w:hAnsiTheme="minorHAnsi" w:cs="MyriadPro-Bold"/>
          <w:bCs/>
          <w:lang w:eastAsia="en-US"/>
        </w:rPr>
        <w:t>technické zhodnocení uhradil poplatník, který má právo k užívání majetku, na kterém provedl</w:t>
      </w:r>
      <w:r w:rsidR="00794FD2">
        <w:rPr>
          <w:rFonts w:asciiTheme="minorHAnsi" w:hAnsiTheme="minorHAnsi" w:cs="MyriadPro-Bold"/>
          <w:bCs/>
          <w:lang w:eastAsia="en-US"/>
        </w:rPr>
        <w:t xml:space="preserve"> </w:t>
      </w:r>
      <w:r w:rsidRPr="00794FD2">
        <w:rPr>
          <w:rFonts w:asciiTheme="minorHAnsi" w:hAnsiTheme="minorHAnsi" w:cs="MyriadPro-Bold"/>
          <w:bCs/>
          <w:lang w:eastAsia="en-US"/>
        </w:rPr>
        <w:t>technické zhodnocení</w:t>
      </w:r>
      <w:r w:rsidR="002820C2" w:rsidRPr="00794FD2">
        <w:rPr>
          <w:rFonts w:asciiTheme="minorHAnsi" w:hAnsiTheme="minorHAnsi" w:cs="MyriadPro-Bold"/>
          <w:bCs/>
          <w:lang w:eastAsia="en-US"/>
        </w:rPr>
        <w:t>;</w:t>
      </w:r>
    </w:p>
    <w:p w:rsidR="008D78FF" w:rsidRPr="00794FD2" w:rsidRDefault="008D78FF" w:rsidP="00794FD2">
      <w:pPr>
        <w:pStyle w:val="Odstavecseseznamem"/>
        <w:numPr>
          <w:ilvl w:val="0"/>
          <w:numId w:val="36"/>
        </w:numPr>
        <w:autoSpaceDE w:val="0"/>
        <w:autoSpaceDN w:val="0"/>
        <w:adjustRightInd w:val="0"/>
        <w:jc w:val="both"/>
        <w:rPr>
          <w:rFonts w:asciiTheme="minorHAnsi" w:hAnsiTheme="minorHAnsi" w:cs="MyriadPro-Bold"/>
          <w:bCs/>
          <w:lang w:eastAsia="en-US"/>
        </w:rPr>
      </w:pPr>
      <w:r w:rsidRPr="00794FD2">
        <w:rPr>
          <w:rFonts w:asciiTheme="minorHAnsi" w:hAnsiTheme="minorHAnsi" w:cs="MyriadPro-Bold"/>
          <w:bCs/>
          <w:lang w:eastAsia="en-US"/>
        </w:rPr>
        <w:t>technické zhodnocení provedl a daňové odpisy uplatňuje vždy s písemným souhlasem vlastníka</w:t>
      </w:r>
      <w:r w:rsidR="002820C2" w:rsidRPr="00794FD2">
        <w:rPr>
          <w:rFonts w:asciiTheme="minorHAnsi" w:hAnsiTheme="minorHAnsi" w:cs="MyriadPro-Bold"/>
          <w:bCs/>
          <w:lang w:eastAsia="en-US"/>
        </w:rPr>
        <w:t>;</w:t>
      </w:r>
    </w:p>
    <w:p w:rsidR="008D78FF" w:rsidRPr="00794FD2" w:rsidRDefault="008D78FF" w:rsidP="00794FD2">
      <w:pPr>
        <w:pStyle w:val="Odstavecseseznamem"/>
        <w:numPr>
          <w:ilvl w:val="0"/>
          <w:numId w:val="36"/>
        </w:numPr>
        <w:autoSpaceDE w:val="0"/>
        <w:autoSpaceDN w:val="0"/>
        <w:adjustRightInd w:val="0"/>
        <w:jc w:val="both"/>
        <w:rPr>
          <w:rFonts w:asciiTheme="minorHAnsi" w:hAnsiTheme="minorHAnsi" w:cs="MyriadPro-Bold"/>
          <w:bCs/>
          <w:lang w:eastAsia="en-US"/>
        </w:rPr>
      </w:pPr>
      <w:r w:rsidRPr="00794FD2">
        <w:rPr>
          <w:rFonts w:asciiTheme="minorHAnsi" w:hAnsiTheme="minorHAnsi" w:cs="MyriadPro-Bold"/>
          <w:bCs/>
          <w:lang w:eastAsia="en-US"/>
        </w:rPr>
        <w:t>vlastník hmotného majetku nezvýšil vstupní cenu hmotného majetku o provedené technické zhodnocení</w:t>
      </w:r>
      <w:r w:rsidR="002820C2" w:rsidRPr="00794FD2">
        <w:rPr>
          <w:rFonts w:asciiTheme="minorHAnsi" w:hAnsiTheme="minorHAnsi" w:cs="MyriadPro-Bold"/>
          <w:bCs/>
          <w:lang w:eastAsia="en-US"/>
        </w:rPr>
        <w:t>;</w:t>
      </w:r>
    </w:p>
    <w:p w:rsidR="008D78FF" w:rsidRPr="00794FD2" w:rsidRDefault="008D78FF" w:rsidP="00794FD2">
      <w:pPr>
        <w:pStyle w:val="Odstavecseseznamem"/>
        <w:numPr>
          <w:ilvl w:val="0"/>
          <w:numId w:val="36"/>
        </w:numPr>
        <w:autoSpaceDE w:val="0"/>
        <w:autoSpaceDN w:val="0"/>
        <w:adjustRightInd w:val="0"/>
        <w:jc w:val="both"/>
        <w:rPr>
          <w:rFonts w:asciiTheme="minorHAnsi" w:hAnsiTheme="minorHAnsi" w:cs="MyriadPro-Bold"/>
          <w:bCs/>
          <w:lang w:eastAsia="en-US"/>
        </w:rPr>
      </w:pPr>
      <w:r w:rsidRPr="00794FD2">
        <w:rPr>
          <w:rFonts w:asciiTheme="minorHAnsi" w:hAnsiTheme="minorHAnsi" w:cs="MyriadPro-Bold"/>
          <w:bCs/>
          <w:lang w:eastAsia="en-US"/>
        </w:rPr>
        <w:t>odpisované technické zhodnocení je zařazeno do stejné odpisové skupiny jako zhodnocovaný majetek.</w:t>
      </w:r>
    </w:p>
    <w:p w:rsidR="007E111D" w:rsidRDefault="007E111D" w:rsidP="00CC1118">
      <w:pPr>
        <w:autoSpaceDE w:val="0"/>
        <w:autoSpaceDN w:val="0"/>
        <w:adjustRightInd w:val="0"/>
        <w:jc w:val="both"/>
        <w:rPr>
          <w:rFonts w:asciiTheme="minorHAnsi" w:hAnsiTheme="minorHAnsi" w:cs="MyriadPro-Regular"/>
          <w:lang w:eastAsia="en-US"/>
        </w:rPr>
      </w:pPr>
    </w:p>
    <w:p w:rsidR="008D78FF" w:rsidRPr="00CC1118" w:rsidRDefault="008D78FF" w:rsidP="00CC1118">
      <w:pPr>
        <w:autoSpaceDE w:val="0"/>
        <w:autoSpaceDN w:val="0"/>
        <w:adjustRightInd w:val="0"/>
        <w:jc w:val="both"/>
        <w:rPr>
          <w:rFonts w:asciiTheme="minorHAnsi" w:hAnsiTheme="minorHAnsi" w:cs="MyriadPro-Regular"/>
          <w:lang w:eastAsia="en-US"/>
        </w:rPr>
      </w:pPr>
      <w:r w:rsidRPr="00CC1118">
        <w:rPr>
          <w:rFonts w:asciiTheme="minorHAnsi" w:hAnsiTheme="minorHAnsi" w:cs="MyriadPro-Regular"/>
          <w:lang w:eastAsia="en-US"/>
        </w:rPr>
        <w:t xml:space="preserve">Podle Přechodného ustanovení se nové znění zákona použije na technické zhodnocení dokončené </w:t>
      </w:r>
      <w:r w:rsidR="0026062A">
        <w:rPr>
          <w:rFonts w:asciiTheme="minorHAnsi" w:hAnsiTheme="minorHAnsi" w:cs="MyriadPro-Regular"/>
          <w:lang w:eastAsia="en-US"/>
        </w:rPr>
        <w:br/>
      </w:r>
      <w:r w:rsidRPr="00CC1118">
        <w:rPr>
          <w:rFonts w:asciiTheme="minorHAnsi" w:hAnsiTheme="minorHAnsi" w:cs="MyriadPro-Regular"/>
          <w:lang w:eastAsia="en-US"/>
        </w:rPr>
        <w:t>a uvedené</w:t>
      </w:r>
      <w:r w:rsidR="007E111D">
        <w:rPr>
          <w:rFonts w:asciiTheme="minorHAnsi" w:hAnsiTheme="minorHAnsi" w:cs="MyriadPro-Regular"/>
          <w:lang w:eastAsia="en-US"/>
        </w:rPr>
        <w:t xml:space="preserve"> </w:t>
      </w:r>
      <w:r w:rsidRPr="00CC1118">
        <w:rPr>
          <w:rFonts w:asciiTheme="minorHAnsi" w:hAnsiTheme="minorHAnsi" w:cs="MyriadPro-Regular"/>
          <w:lang w:eastAsia="en-US"/>
        </w:rPr>
        <w:t>do stavu způsobilého obvyklému užívání ode dne nabytí účinnosti novely zákona.</w:t>
      </w:r>
    </w:p>
    <w:p w:rsidR="008D78FF" w:rsidRPr="00CC1118" w:rsidRDefault="008D78FF" w:rsidP="00CC1118">
      <w:pPr>
        <w:autoSpaceDE w:val="0"/>
        <w:autoSpaceDN w:val="0"/>
        <w:adjustRightInd w:val="0"/>
        <w:jc w:val="both"/>
        <w:rPr>
          <w:rFonts w:asciiTheme="minorHAnsi" w:hAnsiTheme="minorHAnsi" w:cs="MyriadPro-Bold"/>
          <w:b/>
          <w:bCs/>
          <w:lang w:eastAsia="en-US"/>
        </w:rPr>
      </w:pPr>
    </w:p>
    <w:p w:rsidR="008D78FF" w:rsidRPr="007E111D" w:rsidRDefault="007E111D" w:rsidP="007E111D">
      <w:pPr>
        <w:autoSpaceDE w:val="0"/>
        <w:autoSpaceDN w:val="0"/>
        <w:adjustRightInd w:val="0"/>
        <w:jc w:val="both"/>
        <w:rPr>
          <w:rFonts w:asciiTheme="minorHAnsi" w:hAnsiTheme="minorHAnsi" w:cs="MyriadPro-Regular"/>
          <w:lang w:eastAsia="en-US"/>
        </w:rPr>
      </w:pPr>
      <w:r>
        <w:rPr>
          <w:rFonts w:asciiTheme="minorHAnsi" w:hAnsiTheme="minorHAnsi" w:cs="MyriadPro-Regular"/>
          <w:lang w:eastAsia="en-US"/>
        </w:rPr>
        <w:t xml:space="preserve">Rovněž se </w:t>
      </w:r>
      <w:r w:rsidR="008D78FF" w:rsidRPr="007E111D">
        <w:rPr>
          <w:rFonts w:asciiTheme="minorHAnsi" w:hAnsiTheme="minorHAnsi" w:cs="MyriadPro-Regular"/>
          <w:b/>
          <w:lang w:eastAsia="en-US"/>
        </w:rPr>
        <w:t>upravuj</w:t>
      </w:r>
      <w:r w:rsidRPr="007E111D">
        <w:rPr>
          <w:rFonts w:asciiTheme="minorHAnsi" w:hAnsiTheme="minorHAnsi" w:cs="MyriadPro-Regular"/>
          <w:b/>
          <w:lang w:eastAsia="en-US"/>
        </w:rPr>
        <w:t>e</w:t>
      </w:r>
      <w:r w:rsidR="008D78FF" w:rsidRPr="007E111D">
        <w:rPr>
          <w:rFonts w:asciiTheme="minorHAnsi" w:hAnsiTheme="minorHAnsi" w:cs="MyriadPro-Regular"/>
          <w:b/>
          <w:lang w:eastAsia="en-US"/>
        </w:rPr>
        <w:t xml:space="preserve"> dob</w:t>
      </w:r>
      <w:r w:rsidRPr="007E111D">
        <w:rPr>
          <w:rFonts w:asciiTheme="minorHAnsi" w:hAnsiTheme="minorHAnsi" w:cs="MyriadPro-Regular"/>
          <w:b/>
          <w:lang w:eastAsia="en-US"/>
        </w:rPr>
        <w:t>a</w:t>
      </w:r>
      <w:r w:rsidR="008D78FF" w:rsidRPr="007E111D">
        <w:rPr>
          <w:rFonts w:asciiTheme="minorHAnsi" w:hAnsiTheme="minorHAnsi" w:cs="MyriadPro-Regular"/>
          <w:b/>
          <w:lang w:eastAsia="en-US"/>
        </w:rPr>
        <w:t xml:space="preserve"> daňového odpisování nehmotného majetku</w:t>
      </w:r>
      <w:r w:rsidR="008D78FF" w:rsidRPr="00CC1118">
        <w:rPr>
          <w:rFonts w:asciiTheme="minorHAnsi" w:hAnsiTheme="minorHAnsi" w:cs="MyriadPro-Regular"/>
          <w:lang w:eastAsia="en-US"/>
        </w:rPr>
        <w:t>. Pro příslušné kategorie nehmotného majetku</w:t>
      </w:r>
      <w:r>
        <w:rPr>
          <w:rFonts w:asciiTheme="minorHAnsi" w:hAnsiTheme="minorHAnsi" w:cs="MyriadPro-Regular"/>
          <w:lang w:eastAsia="en-US"/>
        </w:rPr>
        <w:t xml:space="preserve"> </w:t>
      </w:r>
      <w:r w:rsidR="008D78FF" w:rsidRPr="00CC1118">
        <w:rPr>
          <w:rFonts w:asciiTheme="minorHAnsi" w:hAnsiTheme="minorHAnsi" w:cs="MyriadPro-Regular"/>
          <w:lang w:eastAsia="en-US"/>
        </w:rPr>
        <w:t>byla pevně stanovená doba odpisování změněna na dobu minimální. Tzn. že poplatník bude moci podle svého rozhodnutí majetek</w:t>
      </w:r>
      <w:r>
        <w:rPr>
          <w:rFonts w:asciiTheme="minorHAnsi" w:hAnsiTheme="minorHAnsi" w:cs="MyriadPro-Regular"/>
          <w:lang w:eastAsia="en-US"/>
        </w:rPr>
        <w:t xml:space="preserve"> </w:t>
      </w:r>
      <w:r w:rsidR="008D78FF" w:rsidRPr="00CC1118">
        <w:rPr>
          <w:rFonts w:asciiTheme="minorHAnsi" w:hAnsiTheme="minorHAnsi" w:cs="MyriadPro-Regular"/>
          <w:lang w:eastAsia="en-US"/>
        </w:rPr>
        <w:t>daňově odpisovat i delší dobu (větší počet měsíců), ovšem při zachování stávajících podmínek, zejména při</w:t>
      </w:r>
      <w:r>
        <w:rPr>
          <w:rFonts w:asciiTheme="minorHAnsi" w:hAnsiTheme="minorHAnsi" w:cs="MyriadPro-Regular"/>
          <w:lang w:eastAsia="en-US"/>
        </w:rPr>
        <w:t xml:space="preserve"> </w:t>
      </w:r>
      <w:r w:rsidR="008D78FF" w:rsidRPr="00CC1118">
        <w:rPr>
          <w:rFonts w:asciiTheme="minorHAnsi" w:hAnsiTheme="minorHAnsi" w:cs="MyriadPro-Regular"/>
          <w:lang w:eastAsia="en-US"/>
        </w:rPr>
        <w:t>zachování pravidla rovnoměrnosti daňových odpisů.</w:t>
      </w:r>
      <w:r>
        <w:rPr>
          <w:rFonts w:asciiTheme="minorHAnsi" w:hAnsiTheme="minorHAnsi" w:cs="MyriadPro-Regular"/>
          <w:lang w:eastAsia="en-US"/>
        </w:rPr>
        <w:t xml:space="preserve"> Nové </w:t>
      </w:r>
      <w:r w:rsidR="008D78FF" w:rsidRPr="00CC1118">
        <w:rPr>
          <w:rFonts w:asciiTheme="minorHAnsi" w:hAnsiTheme="minorHAnsi" w:cs="MyriadPro-Regular"/>
          <w:lang w:eastAsia="en-US"/>
        </w:rPr>
        <w:t xml:space="preserve">znění zákona </w:t>
      </w:r>
      <w:r>
        <w:rPr>
          <w:rFonts w:asciiTheme="minorHAnsi" w:hAnsiTheme="minorHAnsi" w:cs="MyriadPro-Regular"/>
          <w:lang w:eastAsia="en-US"/>
        </w:rPr>
        <w:t xml:space="preserve">se </w:t>
      </w:r>
      <w:r w:rsidR="008D78FF" w:rsidRPr="00CC1118">
        <w:rPr>
          <w:rFonts w:asciiTheme="minorHAnsi" w:hAnsiTheme="minorHAnsi" w:cs="MyriadPro-Regular"/>
          <w:lang w:eastAsia="en-US"/>
        </w:rPr>
        <w:t>použije až na majetek, u kterého bylo odpisování zahájeno</w:t>
      </w:r>
      <w:r>
        <w:rPr>
          <w:rFonts w:asciiTheme="minorHAnsi" w:hAnsiTheme="minorHAnsi" w:cs="MyriadPro-Regular"/>
          <w:lang w:eastAsia="en-US"/>
        </w:rPr>
        <w:t xml:space="preserve"> </w:t>
      </w:r>
      <w:r w:rsidR="008D78FF" w:rsidRPr="00CC1118">
        <w:rPr>
          <w:rFonts w:asciiTheme="minorHAnsi" w:hAnsiTheme="minorHAnsi" w:cs="MyriadPro-Regular"/>
          <w:lang w:eastAsia="en-US"/>
        </w:rPr>
        <w:t>po účinnosti novely zákona.</w:t>
      </w:r>
    </w:p>
    <w:p w:rsidR="00281A02" w:rsidRPr="007E111D" w:rsidRDefault="00281A02" w:rsidP="00B21464">
      <w:pPr>
        <w:pStyle w:val="Nadpis3"/>
        <w:numPr>
          <w:ilvl w:val="0"/>
          <w:numId w:val="40"/>
        </w:numPr>
        <w:rPr>
          <w:rFonts w:asciiTheme="minorHAnsi" w:hAnsiTheme="minorHAnsi" w:cs="Arial"/>
          <w:sz w:val="24"/>
          <w:szCs w:val="24"/>
          <w:u w:val="single"/>
        </w:rPr>
      </w:pPr>
      <w:r w:rsidRPr="007E111D">
        <w:rPr>
          <w:rFonts w:asciiTheme="minorHAnsi" w:hAnsiTheme="minorHAnsi" w:cs="Arial"/>
          <w:sz w:val="24"/>
          <w:szCs w:val="24"/>
          <w:u w:val="single"/>
        </w:rPr>
        <w:t>Výdaje na dopravu silničním motorovým vozidlem</w:t>
      </w:r>
    </w:p>
    <w:p w:rsidR="00281A02" w:rsidRPr="00C108F3" w:rsidRDefault="00281A02" w:rsidP="007E111D">
      <w:pPr>
        <w:spacing w:before="100" w:beforeAutospacing="1" w:after="100" w:afterAutospacing="1"/>
        <w:jc w:val="both"/>
        <w:rPr>
          <w:rFonts w:asciiTheme="minorHAnsi" w:hAnsiTheme="minorHAnsi"/>
          <w:color w:val="FF0000"/>
        </w:rPr>
      </w:pPr>
      <w:r w:rsidRPr="007E111D">
        <w:rPr>
          <w:rStyle w:val="Siln"/>
          <w:rFonts w:asciiTheme="minorHAnsi" w:hAnsiTheme="minorHAnsi" w:cs="Arial"/>
        </w:rPr>
        <w:t>Rozšíří se okruh vozidel</w:t>
      </w:r>
      <w:r w:rsidRPr="007E111D">
        <w:rPr>
          <w:rFonts w:asciiTheme="minorHAnsi" w:hAnsiTheme="minorHAnsi" w:cs="Arial"/>
        </w:rPr>
        <w:t xml:space="preserve">, u nichž bude </w:t>
      </w:r>
      <w:r w:rsidRPr="007E111D">
        <w:rPr>
          <w:rStyle w:val="Siln"/>
          <w:rFonts w:asciiTheme="minorHAnsi" w:hAnsiTheme="minorHAnsi" w:cs="Arial"/>
        </w:rPr>
        <w:t>možné při proplácení výdajů na pracovní cesty použít skutečné výdaje za spotřebované pohonné hmoty</w:t>
      </w:r>
      <w:r w:rsidRPr="007E111D">
        <w:rPr>
          <w:rFonts w:asciiTheme="minorHAnsi" w:hAnsiTheme="minorHAnsi" w:cs="Arial"/>
        </w:rPr>
        <w:t>, tj. dle dokladu o silničním motorovém vozidle užívaném na základě smlouvy o výpůjčce uzavřené s věřitelem na dobu zajištění dluhu převodem vlastnického práva k tomuto vozidlu</w:t>
      </w:r>
      <w:r w:rsidR="0026062A" w:rsidRPr="0026062A">
        <w:rPr>
          <w:rFonts w:asciiTheme="minorHAnsi" w:hAnsiTheme="minorHAnsi" w:cs="Arial"/>
        </w:rPr>
        <w:t>.</w:t>
      </w:r>
    </w:p>
    <w:p w:rsidR="00FE48A6" w:rsidRPr="00B21464" w:rsidRDefault="00B21464" w:rsidP="00B21464">
      <w:pPr>
        <w:pStyle w:val="Odstavecseseznamem"/>
        <w:numPr>
          <w:ilvl w:val="0"/>
          <w:numId w:val="40"/>
        </w:numPr>
        <w:spacing w:before="100" w:beforeAutospacing="1" w:after="100" w:afterAutospacing="1"/>
        <w:rPr>
          <w:rFonts w:asciiTheme="minorHAnsi" w:hAnsiTheme="minorHAnsi"/>
        </w:rPr>
      </w:pPr>
      <w:r>
        <w:rPr>
          <w:rFonts w:asciiTheme="minorHAnsi" w:eastAsia="Times New Roman" w:hAnsiTheme="minorHAnsi" w:cs="Arial"/>
          <w:b/>
          <w:bCs/>
          <w:sz w:val="24"/>
          <w:szCs w:val="24"/>
          <w:u w:val="single"/>
        </w:rPr>
        <w:t>Vzniká n</w:t>
      </w:r>
      <w:r w:rsidR="00FE48A6" w:rsidRPr="00B21464">
        <w:rPr>
          <w:rFonts w:asciiTheme="minorHAnsi" w:eastAsia="Times New Roman" w:hAnsiTheme="minorHAnsi" w:cs="Arial"/>
          <w:b/>
          <w:bCs/>
          <w:sz w:val="24"/>
          <w:szCs w:val="24"/>
          <w:u w:val="single"/>
        </w:rPr>
        <w:t>árok na ošetřovné</w:t>
      </w:r>
    </w:p>
    <w:p w:rsidR="00FE48A6" w:rsidRDefault="00FE48A6" w:rsidP="00FE48A6">
      <w:pPr>
        <w:spacing w:before="225"/>
        <w:jc w:val="both"/>
        <w:rPr>
          <w:rFonts w:asciiTheme="minorHAnsi" w:eastAsia="Times New Roman" w:hAnsiTheme="minorHAnsi" w:cs="Arial"/>
        </w:rPr>
      </w:pPr>
      <w:r w:rsidRPr="00FE48A6">
        <w:rPr>
          <w:rFonts w:asciiTheme="minorHAnsi" w:eastAsia="Times New Roman" w:hAnsiTheme="minorHAnsi" w:cs="Arial"/>
        </w:rPr>
        <w:t xml:space="preserve">Dlouhodobá </w:t>
      </w:r>
      <w:r w:rsidRPr="00FE48A6">
        <w:rPr>
          <w:rFonts w:asciiTheme="minorHAnsi" w:eastAsia="Times New Roman" w:hAnsiTheme="minorHAnsi" w:cs="Arial"/>
          <w:b/>
        </w:rPr>
        <w:t>ošetřovatelská péče s nárokem na ošetřovné bude trvat až 90 kalendářních dní</w:t>
      </w:r>
      <w:r w:rsidRPr="005B7E9D">
        <w:rPr>
          <w:rFonts w:asciiTheme="minorHAnsi" w:eastAsia="Times New Roman" w:hAnsiTheme="minorHAnsi" w:cs="Arial"/>
          <w:b/>
        </w:rPr>
        <w:t xml:space="preserve"> v daném roce.</w:t>
      </w:r>
      <w:r>
        <w:rPr>
          <w:rFonts w:asciiTheme="minorHAnsi" w:eastAsia="Times New Roman" w:hAnsiTheme="minorHAnsi" w:cs="Arial"/>
        </w:rPr>
        <w:t xml:space="preserve"> </w:t>
      </w:r>
      <w:r w:rsidRPr="00FE48A6">
        <w:rPr>
          <w:rFonts w:asciiTheme="minorHAnsi" w:eastAsia="Times New Roman" w:hAnsiTheme="minorHAnsi" w:cs="Arial"/>
        </w:rPr>
        <w:t xml:space="preserve">Dávka ale nebude náležet ve dnech, kdy je nemocný příbuzný hospitalizován ve zdravotnickém zařízení. Ošetřovné bude náležet pečujícím osobám z rodiny i mimo domácnost nemocného a bude dostupné i pro osoby samostatně výdělečně činné, nikoli jen pro zaměstnance. Nárok bude mít pojištěnec, který poskytuje v domácím prostředí dlouhodobou ošetřovatelskou péči a nevykonává zaměstnání ani osobně nevykonává samostatnou výdělečnou činnost. Nebude tedy možné čerpat tuto dávku a současně pracovat nebo podnikat. </w:t>
      </w:r>
      <w:r w:rsidRPr="00FE48A6">
        <w:rPr>
          <w:rFonts w:asciiTheme="minorHAnsi" w:eastAsia="Times New Roman" w:hAnsiTheme="minorHAnsi" w:cs="Arial"/>
          <w:b/>
        </w:rPr>
        <w:t>Výše ošetřovného bude stanovena na 60</w:t>
      </w:r>
      <w:r w:rsidR="00422CF4">
        <w:rPr>
          <w:rFonts w:asciiTheme="minorHAnsi" w:eastAsia="Times New Roman" w:hAnsiTheme="minorHAnsi" w:cs="Arial"/>
          <w:b/>
        </w:rPr>
        <w:t xml:space="preserve"> </w:t>
      </w:r>
      <w:r w:rsidRPr="00FE48A6">
        <w:rPr>
          <w:rFonts w:asciiTheme="minorHAnsi" w:eastAsia="Times New Roman" w:hAnsiTheme="minorHAnsi" w:cs="Arial"/>
          <w:b/>
        </w:rPr>
        <w:t>% denního vyměřovacího základu</w:t>
      </w:r>
      <w:r w:rsidRPr="00FE48A6">
        <w:rPr>
          <w:rFonts w:asciiTheme="minorHAnsi" w:eastAsia="Times New Roman" w:hAnsiTheme="minorHAnsi" w:cs="Arial"/>
        </w:rPr>
        <w:t>, tedy stejně jako krátkodobá nemocenská dávka do 30 dní nemoci. Účinnost novely zavádějící dlouhodobé ošetřovné je stanovena na 1. června 2018.</w:t>
      </w:r>
    </w:p>
    <w:p w:rsidR="00FE48A6" w:rsidRPr="00B21464" w:rsidRDefault="00FE48A6" w:rsidP="00B21464">
      <w:pPr>
        <w:pStyle w:val="Odstavecseseznamem"/>
        <w:numPr>
          <w:ilvl w:val="0"/>
          <w:numId w:val="40"/>
        </w:numPr>
        <w:spacing w:before="100" w:beforeAutospacing="1" w:after="100" w:afterAutospacing="1"/>
        <w:rPr>
          <w:rFonts w:asciiTheme="minorHAnsi" w:hAnsiTheme="minorHAnsi"/>
          <w:b/>
          <w:sz w:val="24"/>
          <w:szCs w:val="24"/>
          <w:u w:val="single"/>
        </w:rPr>
      </w:pPr>
      <w:r w:rsidRPr="00B21464">
        <w:rPr>
          <w:rFonts w:asciiTheme="minorHAnsi" w:hAnsiTheme="minorHAnsi"/>
          <w:b/>
          <w:sz w:val="24"/>
          <w:szCs w:val="24"/>
          <w:u w:val="single"/>
        </w:rPr>
        <w:t>Zvýšení minimální mzdy</w:t>
      </w:r>
    </w:p>
    <w:p w:rsidR="00FE48A6" w:rsidRPr="005B7E9D" w:rsidRDefault="005B7E9D" w:rsidP="005B7E9D">
      <w:pPr>
        <w:spacing w:before="100" w:beforeAutospacing="1" w:after="100" w:afterAutospacing="1"/>
        <w:jc w:val="both"/>
        <w:rPr>
          <w:rFonts w:asciiTheme="minorHAnsi" w:hAnsiTheme="minorHAnsi"/>
        </w:rPr>
      </w:pPr>
      <w:r w:rsidRPr="005B7E9D">
        <w:rPr>
          <w:rStyle w:val="Siln"/>
          <w:rFonts w:asciiTheme="minorHAnsi" w:hAnsiTheme="minorHAnsi" w:cs="Arial"/>
        </w:rPr>
        <w:t xml:space="preserve">Od </w:t>
      </w:r>
      <w:r w:rsidR="00FE48A6" w:rsidRPr="005B7E9D">
        <w:rPr>
          <w:rStyle w:val="Siln"/>
          <w:rFonts w:asciiTheme="minorHAnsi" w:hAnsiTheme="minorHAnsi" w:cs="Arial"/>
        </w:rPr>
        <w:t xml:space="preserve">1. 1. 2018 </w:t>
      </w:r>
      <w:r w:rsidRPr="005B7E9D">
        <w:rPr>
          <w:rStyle w:val="Siln"/>
          <w:rFonts w:asciiTheme="minorHAnsi" w:hAnsiTheme="minorHAnsi" w:cs="Arial"/>
        </w:rPr>
        <w:t xml:space="preserve">se </w:t>
      </w:r>
      <w:r w:rsidR="00FE48A6" w:rsidRPr="005B7E9D">
        <w:rPr>
          <w:rStyle w:val="Siln"/>
          <w:rFonts w:asciiTheme="minorHAnsi" w:hAnsiTheme="minorHAnsi" w:cs="Arial"/>
        </w:rPr>
        <w:t>zvýší minimální měsíční mzda ze současných 11 000 Kč na 12 200 Kč</w:t>
      </w:r>
      <w:r w:rsidR="00FE48A6" w:rsidRPr="005B7E9D">
        <w:rPr>
          <w:rFonts w:asciiTheme="minorHAnsi" w:hAnsiTheme="minorHAnsi" w:cs="Arial"/>
        </w:rPr>
        <w:t xml:space="preserve"> a </w:t>
      </w:r>
      <w:r w:rsidR="00FE48A6" w:rsidRPr="005B7E9D">
        <w:rPr>
          <w:rStyle w:val="Siln"/>
          <w:rFonts w:asciiTheme="minorHAnsi" w:hAnsiTheme="minorHAnsi" w:cs="Arial"/>
        </w:rPr>
        <w:t>minimální hodinová mzda</w:t>
      </w:r>
      <w:r w:rsidR="00FE48A6" w:rsidRPr="005B7E9D">
        <w:rPr>
          <w:rFonts w:asciiTheme="minorHAnsi" w:hAnsiTheme="minorHAnsi" w:cs="Arial"/>
        </w:rPr>
        <w:t xml:space="preserve"> </w:t>
      </w:r>
      <w:r w:rsidR="00FE48A6" w:rsidRPr="005B7E9D">
        <w:rPr>
          <w:rStyle w:val="Siln"/>
          <w:rFonts w:asciiTheme="minorHAnsi" w:hAnsiTheme="minorHAnsi" w:cs="Arial"/>
        </w:rPr>
        <w:t>z 66 Kč na 73,20 Kč</w:t>
      </w:r>
      <w:r w:rsidR="00FE48A6" w:rsidRPr="005B7E9D">
        <w:rPr>
          <w:rFonts w:asciiTheme="minorHAnsi" w:hAnsiTheme="minorHAnsi" w:cs="Arial"/>
        </w:rPr>
        <w:t xml:space="preserve">. Tato částka se vztahuje k práci při stanovené </w:t>
      </w:r>
      <w:r w:rsidR="00FE48A6" w:rsidRPr="005B7E9D">
        <w:rPr>
          <w:rStyle w:val="Siln"/>
          <w:rFonts w:asciiTheme="minorHAnsi" w:hAnsiTheme="minorHAnsi" w:cs="Arial"/>
        </w:rPr>
        <w:t>týdenní pracovní době 40 hodin</w:t>
      </w:r>
      <w:r w:rsidR="00FE48A6" w:rsidRPr="005B7E9D">
        <w:rPr>
          <w:rFonts w:asciiTheme="minorHAnsi" w:hAnsiTheme="minorHAnsi" w:cs="Arial"/>
        </w:rPr>
        <w:t>, tzn. za plný úvazek.</w:t>
      </w:r>
      <w:r w:rsidR="0070289C">
        <w:rPr>
          <w:rFonts w:asciiTheme="minorHAnsi" w:hAnsiTheme="minorHAnsi" w:cs="Arial"/>
        </w:rPr>
        <w:t xml:space="preserve"> Současně dochází k </w:t>
      </w:r>
      <w:r w:rsidR="0070289C" w:rsidRPr="0070289C">
        <w:rPr>
          <w:rFonts w:asciiTheme="minorHAnsi" w:hAnsiTheme="minorHAnsi" w:cs="Arial"/>
          <w:b/>
        </w:rPr>
        <w:t>navýšení tzv. zaručené mzdy</w:t>
      </w:r>
      <w:r w:rsidR="0070289C">
        <w:rPr>
          <w:rFonts w:asciiTheme="minorHAnsi" w:hAnsiTheme="minorHAnsi" w:cs="Arial"/>
        </w:rPr>
        <w:t>, a to celkem v osmi skupinách, od 12</w:t>
      </w:r>
      <w:r w:rsidR="00F803EC">
        <w:rPr>
          <w:rFonts w:asciiTheme="minorHAnsi" w:hAnsiTheme="minorHAnsi" w:cs="Arial"/>
        </w:rPr>
        <w:t xml:space="preserve"> </w:t>
      </w:r>
      <w:r w:rsidR="0070289C">
        <w:rPr>
          <w:rFonts w:asciiTheme="minorHAnsi" w:hAnsiTheme="minorHAnsi" w:cs="Arial"/>
        </w:rPr>
        <w:t>200 Kč až do měsíční zaručené mzdy ve výši 24</w:t>
      </w:r>
      <w:r w:rsidR="00F803EC">
        <w:rPr>
          <w:rFonts w:asciiTheme="minorHAnsi" w:hAnsiTheme="minorHAnsi" w:cs="Arial"/>
        </w:rPr>
        <w:t> </w:t>
      </w:r>
      <w:r w:rsidR="0070289C">
        <w:rPr>
          <w:rFonts w:asciiTheme="minorHAnsi" w:hAnsiTheme="minorHAnsi" w:cs="Arial"/>
        </w:rPr>
        <w:t>400</w:t>
      </w:r>
      <w:r w:rsidR="00F803EC">
        <w:rPr>
          <w:rFonts w:asciiTheme="minorHAnsi" w:hAnsiTheme="minorHAnsi" w:cs="Arial"/>
        </w:rPr>
        <w:t xml:space="preserve"> Kč</w:t>
      </w:r>
      <w:r w:rsidR="0070289C">
        <w:rPr>
          <w:rFonts w:asciiTheme="minorHAnsi" w:hAnsiTheme="minorHAnsi" w:cs="Arial"/>
        </w:rPr>
        <w:t>.</w:t>
      </w:r>
    </w:p>
    <w:p w:rsidR="00FE48A6" w:rsidRPr="00B21464" w:rsidRDefault="005B7E9D" w:rsidP="00B21464">
      <w:pPr>
        <w:pStyle w:val="Odstavecseseznamem"/>
        <w:numPr>
          <w:ilvl w:val="0"/>
          <w:numId w:val="40"/>
        </w:numPr>
        <w:spacing w:before="100" w:beforeAutospacing="1" w:after="100" w:afterAutospacing="1"/>
        <w:rPr>
          <w:rFonts w:asciiTheme="minorHAnsi" w:hAnsiTheme="minorHAnsi"/>
          <w:b/>
          <w:sz w:val="24"/>
          <w:szCs w:val="24"/>
          <w:u w:val="single"/>
        </w:rPr>
      </w:pPr>
      <w:r w:rsidRPr="00B21464">
        <w:rPr>
          <w:rFonts w:asciiTheme="minorHAnsi" w:hAnsiTheme="minorHAnsi"/>
          <w:b/>
          <w:sz w:val="24"/>
          <w:szCs w:val="24"/>
          <w:u w:val="single"/>
        </w:rPr>
        <w:t>Zvýšení záloh OSVČ</w:t>
      </w:r>
    </w:p>
    <w:p w:rsidR="00A23A77" w:rsidRDefault="005B7E9D" w:rsidP="00A23A77">
      <w:pPr>
        <w:spacing w:before="100" w:beforeAutospacing="1" w:after="100" w:afterAutospacing="1"/>
        <w:jc w:val="both"/>
      </w:pPr>
      <w:r>
        <w:t>Zvyšují se minimální měsíční zálohy na sociální a zdravotní pojištění OSVČ, a to ve vazbě na růst průměrn</w:t>
      </w:r>
      <w:r w:rsidR="00A23A77">
        <w:t>é</w:t>
      </w:r>
      <w:r>
        <w:t xml:space="preserve"> mzd</w:t>
      </w:r>
      <w:r w:rsidR="00A23A77">
        <w:t>y</w:t>
      </w:r>
      <w:r>
        <w:t xml:space="preserve">. </w:t>
      </w:r>
      <w:r w:rsidRPr="005B7E9D">
        <w:rPr>
          <w:b/>
        </w:rPr>
        <w:t>Záloha na sociální pojištění</w:t>
      </w:r>
      <w:r>
        <w:t xml:space="preserve"> vzroste z 2 061 Kč na </w:t>
      </w:r>
      <w:r w:rsidRPr="005B7E9D">
        <w:rPr>
          <w:b/>
        </w:rPr>
        <w:t>2 189 Kč</w:t>
      </w:r>
      <w:r>
        <w:t xml:space="preserve">, tedy o 128 Kč měsíčně. </w:t>
      </w:r>
      <w:r w:rsidRPr="005B7E9D">
        <w:rPr>
          <w:b/>
        </w:rPr>
        <w:t>Záloha na zdravotní pojištění</w:t>
      </w:r>
      <w:r>
        <w:t xml:space="preserve"> vzroste z 1 906 Kč na </w:t>
      </w:r>
      <w:r w:rsidRPr="005B7E9D">
        <w:rPr>
          <w:b/>
        </w:rPr>
        <w:t>2 024 Kč</w:t>
      </w:r>
      <w:r>
        <w:t>, tedy o 118 Kč měsíčně.</w:t>
      </w:r>
    </w:p>
    <w:p w:rsidR="00A23A77" w:rsidRPr="00A23A77" w:rsidRDefault="00A23A77" w:rsidP="00B21464">
      <w:pPr>
        <w:pStyle w:val="Odstavecseseznamem"/>
        <w:numPr>
          <w:ilvl w:val="0"/>
          <w:numId w:val="40"/>
        </w:numPr>
        <w:spacing w:before="100" w:beforeAutospacing="1" w:after="100" w:afterAutospacing="1"/>
        <w:jc w:val="both"/>
      </w:pPr>
      <w:r w:rsidRPr="00B21464">
        <w:rPr>
          <w:rFonts w:asciiTheme="minorHAnsi" w:eastAsia="Times New Roman" w:hAnsiTheme="minorHAnsi" w:cs="Arial"/>
          <w:b/>
          <w:bCs/>
          <w:sz w:val="24"/>
          <w:szCs w:val="24"/>
          <w:u w:val="single"/>
        </w:rPr>
        <w:t>Navýšení nemocenských dávek</w:t>
      </w:r>
    </w:p>
    <w:p w:rsidR="00A23A77" w:rsidRPr="00A23A77" w:rsidRDefault="00A23A77" w:rsidP="00A23A77">
      <w:pPr>
        <w:spacing w:before="225" w:after="225"/>
        <w:jc w:val="both"/>
        <w:rPr>
          <w:rFonts w:asciiTheme="minorHAnsi" w:eastAsia="Times New Roman" w:hAnsiTheme="minorHAnsi" w:cs="Arial"/>
        </w:rPr>
      </w:pPr>
      <w:r>
        <w:rPr>
          <w:rFonts w:asciiTheme="minorHAnsi" w:eastAsia="Times New Roman" w:hAnsiTheme="minorHAnsi" w:cs="Arial"/>
        </w:rPr>
        <w:t>Dochází k</w:t>
      </w:r>
      <w:r w:rsidRPr="00A23A77">
        <w:rPr>
          <w:rFonts w:asciiTheme="minorHAnsi" w:eastAsia="Times New Roman" w:hAnsiTheme="minorHAnsi" w:cs="Arial"/>
        </w:rPr>
        <w:t xml:space="preserve"> </w:t>
      </w:r>
      <w:r w:rsidRPr="00A23A77">
        <w:rPr>
          <w:rFonts w:asciiTheme="minorHAnsi" w:eastAsia="Times New Roman" w:hAnsiTheme="minorHAnsi" w:cs="Arial"/>
          <w:b/>
        </w:rPr>
        <w:t>navýšení nemocenských dávek pro dlouhodobě nemocné pacienty</w:t>
      </w:r>
      <w:r w:rsidRPr="00A23A77">
        <w:rPr>
          <w:rFonts w:asciiTheme="minorHAnsi" w:eastAsia="Times New Roman" w:hAnsiTheme="minorHAnsi" w:cs="Arial"/>
        </w:rPr>
        <w:t>. Výše nemocenské dávky za každý kalendářní den pracovní neschopnosti je od 1. ledna 2018 určena takto:</w:t>
      </w:r>
    </w:p>
    <w:p w:rsidR="00A23A77" w:rsidRPr="00A23A77" w:rsidRDefault="00A23A77" w:rsidP="00A23A77">
      <w:pPr>
        <w:pStyle w:val="Odstavecseseznamem"/>
        <w:numPr>
          <w:ilvl w:val="0"/>
          <w:numId w:val="37"/>
        </w:numPr>
        <w:spacing w:before="225" w:after="225"/>
        <w:jc w:val="both"/>
        <w:rPr>
          <w:rFonts w:asciiTheme="minorHAnsi" w:eastAsia="Times New Roman" w:hAnsiTheme="minorHAnsi" w:cs="Arial"/>
        </w:rPr>
      </w:pPr>
      <w:r w:rsidRPr="00A23A77">
        <w:rPr>
          <w:rFonts w:asciiTheme="minorHAnsi" w:eastAsia="Times New Roman" w:hAnsiTheme="minorHAnsi" w:cs="Arial"/>
          <w:b/>
        </w:rPr>
        <w:t>60 % denního vyměřovacího základu do 30. kalendářního dne</w:t>
      </w:r>
      <w:r w:rsidRPr="00A23A77">
        <w:rPr>
          <w:rFonts w:asciiTheme="minorHAnsi" w:eastAsia="Times New Roman" w:hAnsiTheme="minorHAnsi" w:cs="Arial"/>
        </w:rPr>
        <w:t xml:space="preserve"> trvání dočasné pracovní neschopnosti nebo nařízené karantény</w:t>
      </w:r>
      <w:r w:rsidR="00362961" w:rsidRPr="002820C2">
        <w:rPr>
          <w:rFonts w:asciiTheme="minorHAnsi" w:hAnsiTheme="minorHAnsi" w:cs="MyriadPro-Regular"/>
          <w:lang w:eastAsia="en-US"/>
        </w:rPr>
        <w:t>;</w:t>
      </w:r>
    </w:p>
    <w:p w:rsidR="00A23A77" w:rsidRPr="00A23A77" w:rsidRDefault="00A23A77" w:rsidP="00A23A77">
      <w:pPr>
        <w:pStyle w:val="Odstavecseseznamem"/>
        <w:numPr>
          <w:ilvl w:val="0"/>
          <w:numId w:val="37"/>
        </w:numPr>
        <w:spacing w:before="225" w:after="225"/>
        <w:jc w:val="both"/>
        <w:rPr>
          <w:rFonts w:asciiTheme="minorHAnsi" w:eastAsia="Times New Roman" w:hAnsiTheme="minorHAnsi" w:cs="Arial"/>
        </w:rPr>
      </w:pPr>
      <w:r w:rsidRPr="00A23A77">
        <w:rPr>
          <w:rFonts w:asciiTheme="minorHAnsi" w:eastAsia="Times New Roman" w:hAnsiTheme="minorHAnsi" w:cs="Arial"/>
          <w:b/>
        </w:rPr>
        <w:t>66 % denního vyměřovacího základu od 31. kalendářního dne</w:t>
      </w:r>
      <w:r w:rsidRPr="00A23A77">
        <w:rPr>
          <w:rFonts w:asciiTheme="minorHAnsi" w:eastAsia="Times New Roman" w:hAnsiTheme="minorHAnsi" w:cs="Arial"/>
        </w:rPr>
        <w:t xml:space="preserve"> trvání dočasné pracovní neschopnosti nebo nařízené karantény do 60. kalendářního dne trvání dočasné pracovní neschopnosti nebo nařízené karantény</w:t>
      </w:r>
      <w:r w:rsidR="00362961" w:rsidRPr="002820C2">
        <w:rPr>
          <w:rFonts w:asciiTheme="minorHAnsi" w:hAnsiTheme="minorHAnsi" w:cs="MyriadPro-Regular"/>
          <w:lang w:eastAsia="en-US"/>
        </w:rPr>
        <w:t>;</w:t>
      </w:r>
    </w:p>
    <w:p w:rsidR="00A23A77" w:rsidRPr="00A23A77" w:rsidRDefault="00A23A77" w:rsidP="00A23A77">
      <w:pPr>
        <w:pStyle w:val="Odstavecseseznamem"/>
        <w:numPr>
          <w:ilvl w:val="0"/>
          <w:numId w:val="37"/>
        </w:numPr>
        <w:spacing w:before="225" w:after="225"/>
        <w:jc w:val="both"/>
        <w:rPr>
          <w:rFonts w:asciiTheme="minorHAnsi" w:eastAsia="Times New Roman" w:hAnsiTheme="minorHAnsi" w:cs="Arial"/>
        </w:rPr>
      </w:pPr>
      <w:r w:rsidRPr="00A23A77">
        <w:rPr>
          <w:rFonts w:asciiTheme="minorHAnsi" w:eastAsia="Times New Roman" w:hAnsiTheme="minorHAnsi" w:cs="Arial"/>
          <w:b/>
        </w:rPr>
        <w:t>72 % denního vyměřovacího základu od 61. kalendářního dne</w:t>
      </w:r>
      <w:r w:rsidRPr="00A23A77">
        <w:rPr>
          <w:rFonts w:asciiTheme="minorHAnsi" w:eastAsia="Times New Roman" w:hAnsiTheme="minorHAnsi" w:cs="Arial"/>
        </w:rPr>
        <w:t xml:space="preserve"> trvání dočasné pracovní neschopnosti nebo nařízené karantény.</w:t>
      </w:r>
    </w:p>
    <w:p w:rsidR="00A23A77" w:rsidRPr="00A23A77" w:rsidRDefault="00A23A77" w:rsidP="00A23A77">
      <w:pPr>
        <w:spacing w:before="225"/>
        <w:jc w:val="both"/>
        <w:rPr>
          <w:rFonts w:asciiTheme="minorHAnsi" w:eastAsia="Times New Roman" w:hAnsiTheme="minorHAnsi" w:cs="Arial"/>
        </w:rPr>
      </w:pPr>
      <w:r>
        <w:rPr>
          <w:rFonts w:asciiTheme="minorHAnsi" w:eastAsia="Times New Roman" w:hAnsiTheme="minorHAnsi" w:cs="Arial"/>
        </w:rPr>
        <w:t>D</w:t>
      </w:r>
      <w:r w:rsidRPr="00A23A77">
        <w:rPr>
          <w:rFonts w:asciiTheme="minorHAnsi" w:eastAsia="Times New Roman" w:hAnsiTheme="minorHAnsi" w:cs="Arial"/>
        </w:rPr>
        <w:t>osud čin</w:t>
      </w:r>
      <w:r>
        <w:rPr>
          <w:rFonts w:asciiTheme="minorHAnsi" w:eastAsia="Times New Roman" w:hAnsiTheme="minorHAnsi" w:cs="Arial"/>
        </w:rPr>
        <w:t>ila</w:t>
      </w:r>
      <w:r w:rsidRPr="00A23A77">
        <w:rPr>
          <w:rFonts w:asciiTheme="minorHAnsi" w:eastAsia="Times New Roman" w:hAnsiTheme="minorHAnsi" w:cs="Arial"/>
        </w:rPr>
        <w:t xml:space="preserve"> výše nemocenského za kalendářní den 60 % denního vyměřovacího základu po celou dobu dočasné pracovní neschopnosti. </w:t>
      </w:r>
      <w:r>
        <w:rPr>
          <w:rFonts w:asciiTheme="minorHAnsi" w:eastAsia="Times New Roman" w:hAnsiTheme="minorHAnsi" w:cs="Arial"/>
        </w:rPr>
        <w:t>V</w:t>
      </w:r>
      <w:r w:rsidRPr="00A23A77">
        <w:rPr>
          <w:rFonts w:asciiTheme="minorHAnsi" w:eastAsia="Times New Roman" w:hAnsiTheme="minorHAnsi" w:cs="Arial"/>
        </w:rPr>
        <w:t xml:space="preserve"> případě nemocí, které vznikly ještě v letošním roce, se bude při překročení měsíční doby trvání nemoci výše dávky počítat už podle vyššího procentního podílu.</w:t>
      </w:r>
    </w:p>
    <w:p w:rsidR="006B1AB4" w:rsidRPr="00747888" w:rsidRDefault="006B1AB4" w:rsidP="00B21464">
      <w:pPr>
        <w:pStyle w:val="Normlnweb"/>
        <w:numPr>
          <w:ilvl w:val="0"/>
          <w:numId w:val="40"/>
        </w:numPr>
        <w:shd w:val="clear" w:color="auto" w:fill="FFFFFF"/>
        <w:rPr>
          <w:rFonts w:asciiTheme="minorHAnsi" w:hAnsiTheme="minorHAnsi" w:cs="Arial"/>
          <w:b/>
          <w:sz w:val="24"/>
          <w:szCs w:val="24"/>
          <w:u w:val="single"/>
        </w:rPr>
      </w:pPr>
      <w:r w:rsidRPr="00747888">
        <w:rPr>
          <w:rFonts w:asciiTheme="minorHAnsi" w:hAnsiTheme="minorHAnsi" w:cs="Arial"/>
          <w:b/>
          <w:sz w:val="24"/>
          <w:szCs w:val="24"/>
          <w:u w:val="single"/>
        </w:rPr>
        <w:t>Změny v oblasti zaměstnávání osob se zdravotním postižením</w:t>
      </w:r>
    </w:p>
    <w:p w:rsidR="006B1AB4" w:rsidRDefault="006B1AB4" w:rsidP="006B1AB4">
      <w:pPr>
        <w:pStyle w:val="Normlnweb"/>
        <w:shd w:val="clear" w:color="auto" w:fill="FFFFFF"/>
        <w:jc w:val="both"/>
        <w:rPr>
          <w:rFonts w:asciiTheme="minorHAnsi" w:hAnsiTheme="minorHAnsi" w:cs="Arial"/>
        </w:rPr>
      </w:pPr>
      <w:r w:rsidRPr="006B1AB4">
        <w:rPr>
          <w:rFonts w:asciiTheme="minorHAnsi" w:hAnsiTheme="minorHAnsi" w:cs="Arial"/>
        </w:rPr>
        <w:t>Nastávají významnější změny do oblasti náhradního plnění zaměstnáváním osob se zdravotním postižením. Ty spočívají v </w:t>
      </w:r>
      <w:r w:rsidRPr="006B1AB4">
        <w:rPr>
          <w:rFonts w:asciiTheme="minorHAnsi" w:hAnsiTheme="minorHAnsi" w:cs="Arial"/>
          <w:b/>
        </w:rPr>
        <w:t>zavedení elektronické evidence náhradního plnění a nových podmínek pro dodavatele i odběratele plnění.</w:t>
      </w:r>
      <w:r w:rsidRPr="006B1AB4">
        <w:rPr>
          <w:rFonts w:asciiTheme="minorHAnsi" w:hAnsiTheme="minorHAnsi" w:cs="Arial"/>
        </w:rPr>
        <w:t xml:space="preserve"> Podle nových pravidel se bude náhradní plnění poskytovat od</w:t>
      </w:r>
      <w:r w:rsidR="00F00D76">
        <w:rPr>
          <w:rFonts w:asciiTheme="minorHAnsi" w:hAnsiTheme="minorHAnsi" w:cs="Arial"/>
        </w:rPr>
        <w:t> </w:t>
      </w:r>
      <w:r w:rsidRPr="006B1AB4">
        <w:rPr>
          <w:rFonts w:asciiTheme="minorHAnsi" w:hAnsiTheme="minorHAnsi" w:cs="Arial"/>
        </w:rPr>
        <w:t>roku</w:t>
      </w:r>
      <w:r w:rsidR="00F00D76">
        <w:rPr>
          <w:rFonts w:asciiTheme="minorHAnsi" w:hAnsiTheme="minorHAnsi" w:cs="Arial"/>
        </w:rPr>
        <w:t> </w:t>
      </w:r>
      <w:r w:rsidRPr="006B1AB4">
        <w:rPr>
          <w:rFonts w:asciiTheme="minorHAnsi" w:hAnsiTheme="minorHAnsi" w:cs="Arial"/>
        </w:rPr>
        <w:t>2018. Avšak dodavatelů se nové povinnosti týkají již od data spuštění centrální evidence, tj. od</w:t>
      </w:r>
      <w:r w:rsidR="00F00D76">
        <w:rPr>
          <w:rFonts w:asciiTheme="minorHAnsi" w:hAnsiTheme="minorHAnsi" w:cs="Arial"/>
        </w:rPr>
        <w:t> </w:t>
      </w:r>
      <w:r w:rsidRPr="006B1AB4">
        <w:rPr>
          <w:rFonts w:asciiTheme="minorHAnsi" w:hAnsiTheme="minorHAnsi" w:cs="Arial"/>
        </w:rPr>
        <w:t xml:space="preserve">1. října 2017. Elektronická evidence je přístupná na </w:t>
      </w:r>
      <w:r>
        <w:rPr>
          <w:rFonts w:asciiTheme="minorHAnsi" w:hAnsiTheme="minorHAnsi" w:cs="Arial"/>
        </w:rPr>
        <w:t>portálu MPSV.</w:t>
      </w:r>
      <w:r w:rsidRPr="006B1AB4">
        <w:rPr>
          <w:rFonts w:asciiTheme="minorHAnsi" w:hAnsiTheme="minorHAnsi" w:cs="Arial"/>
        </w:rPr>
        <w:t xml:space="preserve"> Novinky se týkají i odběratelů. Odstraní se jim dosavadní povinnost uvádět údaje o náhradním plnění v Oznámení o plnění povinného podílu. Odběratelé budou jako doposud ohlašovat Úřadu práce ČR do 15. února na předepsaném formuláři, zda splnili či nesplnili povinný podíl včetně způsobů jeho plnění. Nebudou však již uvádět konkrétní informace o jednotlivých dodávkách, protože potřebné informace budou obsaženy v elektronické evidenci</w:t>
      </w:r>
      <w:r>
        <w:rPr>
          <w:rFonts w:asciiTheme="minorHAnsi" w:hAnsiTheme="minorHAnsi" w:cs="Arial"/>
        </w:rPr>
        <w:t>.</w:t>
      </w:r>
    </w:p>
    <w:p w:rsidR="006B1AB4" w:rsidRPr="006B1AB4" w:rsidRDefault="006B1AB4" w:rsidP="00B21464">
      <w:pPr>
        <w:pStyle w:val="Normlnweb"/>
        <w:numPr>
          <w:ilvl w:val="0"/>
          <w:numId w:val="40"/>
        </w:numPr>
        <w:shd w:val="clear" w:color="auto" w:fill="FFFFFF"/>
        <w:jc w:val="both"/>
        <w:rPr>
          <w:rFonts w:asciiTheme="minorHAnsi" w:hAnsiTheme="minorHAnsi" w:cs="Arial"/>
          <w:b/>
          <w:sz w:val="24"/>
          <w:szCs w:val="24"/>
          <w:u w:val="single"/>
        </w:rPr>
      </w:pPr>
      <w:r w:rsidRPr="006B1AB4">
        <w:rPr>
          <w:rFonts w:asciiTheme="minorHAnsi" w:hAnsiTheme="minorHAnsi" w:cs="Arial"/>
          <w:b/>
          <w:sz w:val="24"/>
          <w:szCs w:val="24"/>
          <w:u w:val="single"/>
        </w:rPr>
        <w:t>Dočasná pracovní neschopnost i pro uchazeče o zaměstnání</w:t>
      </w:r>
    </w:p>
    <w:p w:rsidR="006B1AB4" w:rsidRDefault="002413CA" w:rsidP="002413CA">
      <w:pPr>
        <w:pStyle w:val="Normlnweb"/>
        <w:shd w:val="clear" w:color="auto" w:fill="FFFFFF"/>
        <w:spacing w:before="0" w:beforeAutospacing="0" w:after="0" w:afterAutospacing="0"/>
        <w:jc w:val="both"/>
        <w:rPr>
          <w:rFonts w:asciiTheme="minorHAnsi" w:hAnsiTheme="minorHAnsi" w:cs="Arial"/>
        </w:rPr>
      </w:pPr>
      <w:r w:rsidRPr="002413CA">
        <w:rPr>
          <w:rFonts w:asciiTheme="minorHAnsi" w:hAnsiTheme="minorHAnsi" w:cs="Arial"/>
        </w:rPr>
        <w:t xml:space="preserve">Změna </w:t>
      </w:r>
      <w:r w:rsidR="006B1AB4" w:rsidRPr="002413CA">
        <w:rPr>
          <w:rFonts w:asciiTheme="minorHAnsi" w:hAnsiTheme="minorHAnsi" w:cs="Arial"/>
        </w:rPr>
        <w:t xml:space="preserve">znamená zpřísnění režimu dočasné pracovní neschopnosti pro uchazeče o zaměstnání </w:t>
      </w:r>
      <w:r w:rsidR="00747888">
        <w:rPr>
          <w:rFonts w:asciiTheme="minorHAnsi" w:hAnsiTheme="minorHAnsi" w:cs="Arial"/>
        </w:rPr>
        <w:br/>
      </w:r>
      <w:r w:rsidR="006B1AB4" w:rsidRPr="002413CA">
        <w:rPr>
          <w:rFonts w:asciiTheme="minorHAnsi" w:hAnsiTheme="minorHAnsi" w:cs="Arial"/>
        </w:rPr>
        <w:t xml:space="preserve">a vstoupila do účinnosti už v říjnu 2017. Zjednodušeně řečeno, také </w:t>
      </w:r>
      <w:r w:rsidR="006B1AB4" w:rsidRPr="002413CA">
        <w:rPr>
          <w:rFonts w:asciiTheme="minorHAnsi" w:hAnsiTheme="minorHAnsi" w:cs="Arial"/>
          <w:b/>
        </w:rPr>
        <w:t xml:space="preserve">uchazeč o zaměstnání dostane </w:t>
      </w:r>
      <w:r w:rsidR="00747888">
        <w:rPr>
          <w:rFonts w:asciiTheme="minorHAnsi" w:hAnsiTheme="minorHAnsi" w:cs="Arial"/>
          <w:b/>
        </w:rPr>
        <w:br/>
      </w:r>
      <w:r w:rsidR="006B1AB4" w:rsidRPr="002413CA">
        <w:rPr>
          <w:rFonts w:asciiTheme="minorHAnsi" w:hAnsiTheme="minorHAnsi" w:cs="Arial"/>
          <w:b/>
        </w:rPr>
        <w:t>u lékaře ekvivalent neschopenky, tedy potvrzení o dočasné neschopnosti</w:t>
      </w:r>
      <w:r w:rsidR="006B1AB4" w:rsidRPr="002413CA">
        <w:rPr>
          <w:rFonts w:asciiTheme="minorHAnsi" w:hAnsiTheme="minorHAnsi" w:cs="Arial"/>
        </w:rPr>
        <w:t>, a bude mít obdobné povinnosti jako zaměstnanec v pracovní neschopnosti: zdržovat se v době nemoci nebo v době po úrazu v místě pobytu uvedeném v potvrzení o dočasné neschopnosti a dodržovat rozsah a dobu povolených vycházek. Úřady práce budou dodržování těchto povinností kontrolovat.</w:t>
      </w:r>
    </w:p>
    <w:p w:rsidR="009B4587" w:rsidRDefault="009B4587" w:rsidP="002413CA">
      <w:pPr>
        <w:pStyle w:val="Normlnweb"/>
        <w:shd w:val="clear" w:color="auto" w:fill="FFFFFF"/>
        <w:spacing w:before="0" w:beforeAutospacing="0" w:after="0" w:afterAutospacing="0"/>
        <w:jc w:val="both"/>
        <w:rPr>
          <w:rFonts w:asciiTheme="minorHAnsi" w:hAnsiTheme="minorHAnsi" w:cs="Arial"/>
        </w:rPr>
      </w:pPr>
    </w:p>
    <w:p w:rsidR="009B4587" w:rsidRDefault="009B4587" w:rsidP="002413CA">
      <w:pPr>
        <w:pStyle w:val="Normlnweb"/>
        <w:shd w:val="clear" w:color="auto" w:fill="FFFFFF"/>
        <w:spacing w:before="0" w:beforeAutospacing="0" w:after="0" w:afterAutospacing="0"/>
        <w:jc w:val="both"/>
        <w:rPr>
          <w:rFonts w:asciiTheme="minorHAnsi" w:hAnsiTheme="minorHAnsi" w:cs="Arial"/>
        </w:rPr>
      </w:pPr>
    </w:p>
    <w:p w:rsidR="009B4587" w:rsidRPr="002413CA" w:rsidRDefault="009B4587" w:rsidP="002413CA">
      <w:pPr>
        <w:pStyle w:val="Normlnweb"/>
        <w:shd w:val="clear" w:color="auto" w:fill="FFFFFF"/>
        <w:spacing w:before="0" w:beforeAutospacing="0" w:after="0" w:afterAutospacing="0"/>
        <w:jc w:val="both"/>
        <w:rPr>
          <w:rFonts w:asciiTheme="minorHAnsi" w:hAnsiTheme="minorHAnsi" w:cs="Arial"/>
        </w:rPr>
      </w:pPr>
    </w:p>
    <w:p w:rsidR="00281A02" w:rsidRPr="00B21464" w:rsidRDefault="00B21464" w:rsidP="00B21464">
      <w:pPr>
        <w:pStyle w:val="Odstavecseseznamem"/>
        <w:numPr>
          <w:ilvl w:val="0"/>
          <w:numId w:val="40"/>
        </w:numPr>
        <w:spacing w:before="100" w:beforeAutospacing="1" w:after="100" w:afterAutospacing="1"/>
        <w:jc w:val="both"/>
        <w:rPr>
          <w:rFonts w:asciiTheme="minorHAnsi" w:hAnsiTheme="minorHAnsi"/>
          <w:b/>
          <w:sz w:val="24"/>
          <w:szCs w:val="24"/>
          <w:u w:val="single"/>
        </w:rPr>
      </w:pPr>
      <w:r w:rsidRPr="00B21464">
        <w:rPr>
          <w:rFonts w:asciiTheme="minorHAnsi" w:hAnsiTheme="minorHAnsi"/>
          <w:b/>
          <w:sz w:val="24"/>
          <w:szCs w:val="24"/>
          <w:u w:val="single"/>
        </w:rPr>
        <w:t>Změny v ochraně osobních údajů</w:t>
      </w:r>
    </w:p>
    <w:p w:rsidR="00B21464" w:rsidRPr="00362961" w:rsidRDefault="006261F0" w:rsidP="0079256B">
      <w:pPr>
        <w:spacing w:before="100" w:beforeAutospacing="1" w:after="100" w:afterAutospacing="1"/>
        <w:jc w:val="both"/>
        <w:rPr>
          <w:rFonts w:asciiTheme="minorHAnsi" w:hAnsiTheme="minorHAnsi"/>
        </w:rPr>
      </w:pPr>
      <w:r w:rsidRPr="0028082C">
        <w:rPr>
          <w:rFonts w:asciiTheme="minorHAnsi" w:hAnsiTheme="minorHAnsi"/>
        </w:rPr>
        <w:t>25.</w:t>
      </w:r>
      <w:r w:rsidR="009B4587">
        <w:rPr>
          <w:rFonts w:asciiTheme="minorHAnsi" w:hAnsiTheme="minorHAnsi"/>
        </w:rPr>
        <w:t xml:space="preserve">  </w:t>
      </w:r>
      <w:r w:rsidRPr="0028082C">
        <w:rPr>
          <w:rFonts w:asciiTheme="minorHAnsi" w:hAnsiTheme="minorHAnsi"/>
        </w:rPr>
        <w:t>května</w:t>
      </w:r>
      <w:r w:rsidR="0028082C">
        <w:rPr>
          <w:rFonts w:asciiTheme="minorHAnsi" w:hAnsiTheme="minorHAnsi"/>
        </w:rPr>
        <w:t xml:space="preserve"> </w:t>
      </w:r>
      <w:r w:rsidRPr="0028082C">
        <w:rPr>
          <w:rFonts w:asciiTheme="minorHAnsi" w:hAnsiTheme="minorHAnsi"/>
        </w:rPr>
        <w:t>2018 vstupuje v</w:t>
      </w:r>
      <w:r w:rsidR="00981DBE">
        <w:rPr>
          <w:rFonts w:asciiTheme="minorHAnsi" w:hAnsiTheme="minorHAnsi"/>
        </w:rPr>
        <w:t xml:space="preserve"> účinnost </w:t>
      </w:r>
      <w:r w:rsidRPr="0028082C">
        <w:rPr>
          <w:rFonts w:asciiTheme="minorHAnsi" w:hAnsiTheme="minorHAnsi"/>
        </w:rPr>
        <w:t xml:space="preserve">evropské nařízení o ochraně osobních údajů GDPR, které </w:t>
      </w:r>
      <w:r w:rsidRPr="0028082C">
        <w:rPr>
          <w:rFonts w:asciiTheme="minorHAnsi" w:hAnsiTheme="minorHAnsi"/>
          <w:b/>
        </w:rPr>
        <w:t>zcela nahrazuje, doplňuje a zpřísňuje současnou legislativu.</w:t>
      </w:r>
      <w:r w:rsidRPr="0028082C">
        <w:rPr>
          <w:rFonts w:asciiTheme="minorHAnsi" w:hAnsiTheme="minorHAnsi"/>
        </w:rPr>
        <w:t xml:space="preserve"> </w:t>
      </w:r>
      <w:r w:rsidRPr="0028082C">
        <w:rPr>
          <w:rFonts w:asciiTheme="minorHAnsi" w:hAnsiTheme="minorHAnsi"/>
          <w:b/>
        </w:rPr>
        <w:t>GDPR se týká všech podniků, které v rámci své činnosti zpracovávají osobní údaje</w:t>
      </w:r>
      <w:r w:rsidRPr="0028082C">
        <w:rPr>
          <w:rFonts w:asciiTheme="minorHAnsi" w:hAnsiTheme="minorHAnsi"/>
        </w:rPr>
        <w:t>. Norma</w:t>
      </w:r>
      <w:r w:rsidR="0028082C">
        <w:rPr>
          <w:rFonts w:asciiTheme="minorHAnsi" w:hAnsiTheme="minorHAnsi"/>
        </w:rPr>
        <w:t xml:space="preserve"> </w:t>
      </w:r>
      <w:r w:rsidRPr="0028082C">
        <w:rPr>
          <w:rFonts w:asciiTheme="minorHAnsi" w:hAnsiTheme="minorHAnsi"/>
        </w:rPr>
        <w:t>dopadá na jakéhokoli podnikatele, který má alespoň jednoho zaměstnance, má mezi svými klienty fyzické podnikající osoby apod</w:t>
      </w:r>
      <w:r w:rsidR="0028082C">
        <w:rPr>
          <w:rFonts w:asciiTheme="minorHAnsi" w:hAnsiTheme="minorHAnsi"/>
        </w:rPr>
        <w:t>.</w:t>
      </w:r>
      <w:r w:rsidRPr="0028082C">
        <w:rPr>
          <w:rFonts w:asciiTheme="minorHAnsi" w:hAnsiTheme="minorHAnsi"/>
        </w:rPr>
        <w:t xml:space="preserve"> Změny se budou týkat </w:t>
      </w:r>
      <w:r w:rsidRPr="0028082C">
        <w:rPr>
          <w:rFonts w:asciiTheme="minorHAnsi" w:hAnsiTheme="minorHAnsi"/>
          <w:b/>
        </w:rPr>
        <w:t>právní dokumentace</w:t>
      </w:r>
      <w:r w:rsidRPr="0028082C">
        <w:rPr>
          <w:rFonts w:asciiTheme="minorHAnsi" w:hAnsiTheme="minorHAnsi"/>
        </w:rPr>
        <w:t xml:space="preserve"> (souhlasy se zpracováním, zpracovatelské smlouvy, vnitřní předpisy), </w:t>
      </w:r>
      <w:r w:rsidR="0028082C">
        <w:rPr>
          <w:rFonts w:asciiTheme="minorHAnsi" w:hAnsiTheme="minorHAnsi"/>
        </w:rPr>
        <w:t>dále se bude týkat</w:t>
      </w:r>
      <w:r w:rsidRPr="0028082C">
        <w:rPr>
          <w:rFonts w:asciiTheme="minorHAnsi" w:hAnsiTheme="minorHAnsi"/>
        </w:rPr>
        <w:t xml:space="preserve"> </w:t>
      </w:r>
      <w:r w:rsidRPr="0028082C">
        <w:rPr>
          <w:rFonts w:asciiTheme="minorHAnsi" w:hAnsiTheme="minorHAnsi"/>
          <w:b/>
        </w:rPr>
        <w:t>bezpečnostně technick</w:t>
      </w:r>
      <w:r w:rsidR="0028082C" w:rsidRPr="0028082C">
        <w:rPr>
          <w:rFonts w:asciiTheme="minorHAnsi" w:hAnsiTheme="minorHAnsi"/>
          <w:b/>
        </w:rPr>
        <w:t>é</w:t>
      </w:r>
      <w:r w:rsidRPr="0028082C">
        <w:rPr>
          <w:rFonts w:asciiTheme="minorHAnsi" w:hAnsiTheme="minorHAnsi"/>
          <w:b/>
        </w:rPr>
        <w:t xml:space="preserve"> </w:t>
      </w:r>
      <w:r w:rsidRPr="0028082C">
        <w:rPr>
          <w:rFonts w:asciiTheme="minorHAnsi" w:hAnsiTheme="minorHAnsi"/>
        </w:rPr>
        <w:t>stránk</w:t>
      </w:r>
      <w:r w:rsidR="0028082C">
        <w:rPr>
          <w:rFonts w:asciiTheme="minorHAnsi" w:hAnsiTheme="minorHAnsi"/>
        </w:rPr>
        <w:t>y</w:t>
      </w:r>
      <w:r w:rsidRPr="0028082C">
        <w:rPr>
          <w:rFonts w:asciiTheme="minorHAnsi" w:hAnsiTheme="minorHAnsi"/>
        </w:rPr>
        <w:t xml:space="preserve"> věci, </w:t>
      </w:r>
      <w:r w:rsidR="0028082C">
        <w:rPr>
          <w:rFonts w:asciiTheme="minorHAnsi" w:hAnsiTheme="minorHAnsi"/>
        </w:rPr>
        <w:t xml:space="preserve">podnikatelé budou muset </w:t>
      </w:r>
      <w:r w:rsidRPr="0028082C">
        <w:rPr>
          <w:rFonts w:asciiTheme="minorHAnsi" w:hAnsiTheme="minorHAnsi"/>
          <w:b/>
        </w:rPr>
        <w:t>zabezpeč</w:t>
      </w:r>
      <w:r w:rsidR="0028082C" w:rsidRPr="0028082C">
        <w:rPr>
          <w:rFonts w:asciiTheme="minorHAnsi" w:hAnsiTheme="minorHAnsi"/>
          <w:b/>
        </w:rPr>
        <w:t>it</w:t>
      </w:r>
      <w:r w:rsidRPr="0028082C">
        <w:rPr>
          <w:rFonts w:asciiTheme="minorHAnsi" w:hAnsiTheme="minorHAnsi"/>
          <w:b/>
        </w:rPr>
        <w:t xml:space="preserve"> informační systémy </w:t>
      </w:r>
      <w:r w:rsidRPr="0028082C">
        <w:rPr>
          <w:rFonts w:asciiTheme="minorHAnsi" w:hAnsiTheme="minorHAnsi"/>
        </w:rPr>
        <w:t xml:space="preserve">a vhodně </w:t>
      </w:r>
      <w:r w:rsidRPr="0028082C">
        <w:rPr>
          <w:rFonts w:asciiTheme="minorHAnsi" w:hAnsiTheme="minorHAnsi"/>
          <w:b/>
        </w:rPr>
        <w:t>nastavit interní procesy</w:t>
      </w:r>
      <w:r w:rsidRPr="0028082C">
        <w:rPr>
          <w:rFonts w:asciiTheme="minorHAnsi" w:hAnsiTheme="minorHAnsi"/>
        </w:rPr>
        <w:t xml:space="preserve"> zpracování osobních údajů. Za porušení povinnosti stanovené GDPR mohou být správci ukládána opatření, jako například nařízení uvést zpracovávání do souladu se zákonem</w:t>
      </w:r>
      <w:r w:rsidR="0028082C">
        <w:rPr>
          <w:rFonts w:asciiTheme="minorHAnsi" w:hAnsiTheme="minorHAnsi"/>
        </w:rPr>
        <w:t>, v</w:t>
      </w:r>
      <w:r w:rsidRPr="0028082C">
        <w:rPr>
          <w:rFonts w:asciiTheme="minorHAnsi" w:hAnsiTheme="minorHAnsi"/>
        </w:rPr>
        <w:t> závažnějších případech i peněžitá pokuta. Ta má být v každém jednotlivém případě účinná, přiměřená a odrazující. Maximální peněžitá sankce je stanovena ve výši až 20 milionů eur nebo 4 % celosvětového ročního obratu za předchozí finanční rok</w:t>
      </w:r>
      <w:r w:rsidRPr="00362961">
        <w:rPr>
          <w:rFonts w:asciiTheme="minorHAnsi" w:hAnsiTheme="minorHAnsi"/>
        </w:rPr>
        <w:t xml:space="preserve">. </w:t>
      </w:r>
    </w:p>
    <w:p w:rsidR="00B21464" w:rsidRPr="00B21464" w:rsidRDefault="00B21464" w:rsidP="0079256B">
      <w:pPr>
        <w:spacing w:before="100" w:beforeAutospacing="1" w:after="100" w:afterAutospacing="1"/>
        <w:jc w:val="both"/>
        <w:rPr>
          <w:rFonts w:asciiTheme="minorHAnsi" w:hAnsiTheme="minorHAnsi"/>
          <w:b/>
          <w:sz w:val="24"/>
          <w:szCs w:val="24"/>
          <w:u w:val="single"/>
        </w:rPr>
      </w:pPr>
      <w:r>
        <w:rPr>
          <w:rFonts w:asciiTheme="minorHAnsi" w:hAnsiTheme="minorHAnsi"/>
        </w:rPr>
        <w:t xml:space="preserve">        </w:t>
      </w:r>
      <w:r w:rsidRPr="00B21464">
        <w:rPr>
          <w:rFonts w:asciiTheme="minorHAnsi" w:hAnsiTheme="minorHAnsi"/>
          <w:b/>
          <w:sz w:val="24"/>
          <w:szCs w:val="24"/>
          <w:u w:val="single"/>
        </w:rPr>
        <w:t>25. Rozšíření státních záruk za úvěry</w:t>
      </w:r>
    </w:p>
    <w:p w:rsidR="0028082C" w:rsidRPr="00B21464" w:rsidRDefault="0028082C" w:rsidP="0079256B">
      <w:pPr>
        <w:spacing w:before="100" w:beforeAutospacing="1" w:after="100" w:afterAutospacing="1"/>
        <w:jc w:val="both"/>
        <w:rPr>
          <w:rFonts w:asciiTheme="minorHAnsi" w:hAnsiTheme="minorHAnsi"/>
          <w:b/>
          <w:sz w:val="24"/>
          <w:szCs w:val="24"/>
          <w:u w:val="single"/>
        </w:rPr>
      </w:pPr>
      <w:r w:rsidRPr="0079256B">
        <w:rPr>
          <w:rFonts w:asciiTheme="minorHAnsi" w:hAnsiTheme="minorHAnsi"/>
        </w:rPr>
        <w:t xml:space="preserve">Českomoravská záruční a rozvojová banka rozšiřuje program Záruka 2015-2023. Nově budou moci </w:t>
      </w:r>
      <w:r w:rsidRPr="0079256B">
        <w:rPr>
          <w:rFonts w:asciiTheme="minorHAnsi" w:hAnsiTheme="minorHAnsi"/>
          <w:b/>
        </w:rPr>
        <w:t>záruky za provozní a investiční úvěry čerpat rovněž mimopražští podnikatelé</w:t>
      </w:r>
      <w:r w:rsidR="0079256B" w:rsidRPr="0079256B">
        <w:rPr>
          <w:rFonts w:asciiTheme="minorHAnsi" w:hAnsiTheme="minorHAnsi"/>
        </w:rPr>
        <w:t xml:space="preserve"> ze zpracovatelského průmyslu, IT, výzkumu, vývoje a dalších služeb. </w:t>
      </w:r>
    </w:p>
    <w:p w:rsidR="0028082C" w:rsidRPr="0079256B" w:rsidRDefault="0028082C" w:rsidP="0079256B">
      <w:pPr>
        <w:spacing w:before="100" w:beforeAutospacing="1" w:after="100" w:afterAutospacing="1"/>
        <w:jc w:val="both"/>
        <w:rPr>
          <w:rFonts w:asciiTheme="minorHAnsi" w:hAnsiTheme="minorHAnsi"/>
        </w:rPr>
      </w:pPr>
    </w:p>
    <w:p w:rsidR="0028082C" w:rsidRPr="00F00D76" w:rsidRDefault="001C60C5" w:rsidP="006261F0">
      <w:pPr>
        <w:spacing w:before="100" w:beforeAutospacing="1" w:after="100" w:afterAutospacing="1"/>
        <w:rPr>
          <w:rFonts w:asciiTheme="minorHAnsi" w:hAnsiTheme="minorHAnsi"/>
          <w:i/>
        </w:rPr>
      </w:pPr>
      <w:r>
        <w:rPr>
          <w:rFonts w:asciiTheme="minorHAnsi" w:hAnsiTheme="minorHAnsi"/>
          <w:i/>
        </w:rPr>
        <w:t xml:space="preserve">Zdroj: Tisková zpráva </w:t>
      </w:r>
      <w:r w:rsidR="00F00D76" w:rsidRPr="00F00D76">
        <w:rPr>
          <w:rFonts w:asciiTheme="minorHAnsi" w:hAnsiTheme="minorHAnsi"/>
          <w:i/>
        </w:rPr>
        <w:t>AMSP ČR, 28. 11. 2017</w:t>
      </w:r>
    </w:p>
    <w:p w:rsidR="005A70F3" w:rsidRPr="00C108F3" w:rsidRDefault="005A70F3" w:rsidP="005A70F3">
      <w:pPr>
        <w:spacing w:before="100" w:beforeAutospacing="1" w:after="100" w:afterAutospacing="1"/>
        <w:rPr>
          <w:rFonts w:asciiTheme="minorHAnsi" w:hAnsiTheme="minorHAnsi"/>
        </w:rPr>
      </w:pPr>
    </w:p>
    <w:p w:rsidR="00B169AA" w:rsidRPr="00C108F3" w:rsidRDefault="00B169AA">
      <w:pPr>
        <w:rPr>
          <w:rFonts w:asciiTheme="minorHAnsi" w:hAnsiTheme="minorHAnsi"/>
        </w:rPr>
      </w:pPr>
    </w:p>
    <w:sectPr w:rsidR="00B169AA" w:rsidRPr="00C108F3" w:rsidSect="009778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7FA" w:rsidRDefault="007477FA" w:rsidP="007D430A">
      <w:r>
        <w:separator/>
      </w:r>
    </w:p>
  </w:endnote>
  <w:endnote w:type="continuationSeparator" w:id="0">
    <w:p w:rsidR="007477FA" w:rsidRDefault="007477FA" w:rsidP="007D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MyriadPro-Bold">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D76" w:rsidRDefault="00F00D7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Stránka</w:t>
    </w:r>
    <w:r>
      <w:rPr>
        <w:color w:val="8496B0" w:themeColor="text2" w:themeTint="99"/>
        <w:sz w:val="24"/>
        <w:szCs w:val="24"/>
      </w:rPr>
      <w:t xml:space="preserve"> </w:t>
    </w:r>
    <w:r w:rsidR="002C608B">
      <w:rPr>
        <w:color w:val="323E4F" w:themeColor="text2" w:themeShade="BF"/>
        <w:sz w:val="24"/>
        <w:szCs w:val="24"/>
      </w:rPr>
      <w:fldChar w:fldCharType="begin"/>
    </w:r>
    <w:r>
      <w:rPr>
        <w:color w:val="323E4F" w:themeColor="text2" w:themeShade="BF"/>
        <w:sz w:val="24"/>
        <w:szCs w:val="24"/>
      </w:rPr>
      <w:instrText>PAGE   \* MERGEFORMAT</w:instrText>
    </w:r>
    <w:r w:rsidR="002C608B">
      <w:rPr>
        <w:color w:val="323E4F" w:themeColor="text2" w:themeShade="BF"/>
        <w:sz w:val="24"/>
        <w:szCs w:val="24"/>
      </w:rPr>
      <w:fldChar w:fldCharType="separate"/>
    </w:r>
    <w:r w:rsidR="00D32CED">
      <w:rPr>
        <w:noProof/>
        <w:color w:val="323E4F" w:themeColor="text2" w:themeShade="BF"/>
        <w:sz w:val="24"/>
        <w:szCs w:val="24"/>
      </w:rPr>
      <w:t>1</w:t>
    </w:r>
    <w:r w:rsidR="002C608B">
      <w:rPr>
        <w:color w:val="323E4F" w:themeColor="text2" w:themeShade="BF"/>
        <w:sz w:val="24"/>
        <w:szCs w:val="24"/>
      </w:rPr>
      <w:fldChar w:fldCharType="end"/>
    </w:r>
    <w:r>
      <w:rPr>
        <w:color w:val="323E4F" w:themeColor="text2" w:themeShade="BF"/>
        <w:sz w:val="24"/>
        <w:szCs w:val="24"/>
      </w:rPr>
      <w:t xml:space="preserve"> | </w:t>
    </w:r>
    <w:r w:rsidR="007477FA">
      <w:fldChar w:fldCharType="begin"/>
    </w:r>
    <w:r w:rsidR="007477FA">
      <w:instrText>NUMPAGES  \* Arabic  \* MERGEFORMAT</w:instrText>
    </w:r>
    <w:r w:rsidR="007477FA">
      <w:fldChar w:fldCharType="separate"/>
    </w:r>
    <w:r w:rsidR="00D32CED" w:rsidRPr="00D32CED">
      <w:rPr>
        <w:noProof/>
        <w:color w:val="323E4F" w:themeColor="text2" w:themeShade="BF"/>
        <w:sz w:val="24"/>
        <w:szCs w:val="24"/>
      </w:rPr>
      <w:t>3</w:t>
    </w:r>
    <w:r w:rsidR="007477FA">
      <w:rPr>
        <w:noProof/>
        <w:color w:val="323E4F" w:themeColor="text2" w:themeShade="BF"/>
        <w:sz w:val="24"/>
        <w:szCs w:val="24"/>
      </w:rPr>
      <w:fldChar w:fldCharType="end"/>
    </w:r>
  </w:p>
  <w:p w:rsidR="00F00D76" w:rsidRDefault="00F00D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7FA" w:rsidRDefault="007477FA" w:rsidP="007D430A">
      <w:r>
        <w:separator/>
      </w:r>
    </w:p>
  </w:footnote>
  <w:footnote w:type="continuationSeparator" w:id="0">
    <w:p w:rsidR="007477FA" w:rsidRDefault="007477FA" w:rsidP="007D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30A" w:rsidRDefault="007D430A" w:rsidP="009B00C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AC9"/>
    <w:multiLevelType w:val="multilevel"/>
    <w:tmpl w:val="DDDA7C30"/>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76D5F37"/>
    <w:multiLevelType w:val="multilevel"/>
    <w:tmpl w:val="1B26F04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9324A79"/>
    <w:multiLevelType w:val="multilevel"/>
    <w:tmpl w:val="9C585FF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A712821"/>
    <w:multiLevelType w:val="multilevel"/>
    <w:tmpl w:val="7E5AE41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1E1C3F4B"/>
    <w:multiLevelType w:val="multilevel"/>
    <w:tmpl w:val="DDA6E34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FA242C2"/>
    <w:multiLevelType w:val="multilevel"/>
    <w:tmpl w:val="A970D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46ABF"/>
    <w:multiLevelType w:val="multilevel"/>
    <w:tmpl w:val="F1226EC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CCE0C83"/>
    <w:multiLevelType w:val="multilevel"/>
    <w:tmpl w:val="4E7A2A0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CFE45EC"/>
    <w:multiLevelType w:val="multilevel"/>
    <w:tmpl w:val="88A81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F08703B"/>
    <w:multiLevelType w:val="multilevel"/>
    <w:tmpl w:val="BB3A216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37F26AF1"/>
    <w:multiLevelType w:val="hybridMultilevel"/>
    <w:tmpl w:val="7CF648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AB0A87"/>
    <w:multiLevelType w:val="multilevel"/>
    <w:tmpl w:val="009A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735D63"/>
    <w:multiLevelType w:val="multilevel"/>
    <w:tmpl w:val="D9482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612B0"/>
    <w:multiLevelType w:val="multilevel"/>
    <w:tmpl w:val="326A70C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3723DA1"/>
    <w:multiLevelType w:val="multilevel"/>
    <w:tmpl w:val="EFE027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84E1DDA"/>
    <w:multiLevelType w:val="multilevel"/>
    <w:tmpl w:val="F94EBD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49F571BC"/>
    <w:multiLevelType w:val="multilevel"/>
    <w:tmpl w:val="EEF002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BA06AE6"/>
    <w:multiLevelType w:val="multilevel"/>
    <w:tmpl w:val="A704D42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4ECD61FB"/>
    <w:multiLevelType w:val="multilevel"/>
    <w:tmpl w:val="2ED2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C424F"/>
    <w:multiLevelType w:val="hybridMultilevel"/>
    <w:tmpl w:val="8BB290CE"/>
    <w:lvl w:ilvl="0" w:tplc="0DF6DA70">
      <w:numFmt w:val="bullet"/>
      <w:lvlText w:val="•"/>
      <w:lvlJc w:val="left"/>
      <w:pPr>
        <w:ind w:left="720" w:hanging="360"/>
      </w:pPr>
      <w:rPr>
        <w:rFonts w:ascii="Calibri" w:eastAsiaTheme="minorHAnsi" w:hAnsi="Calibri" w:cs="MyriadPro-Regular" w:hint="default"/>
        <w:b w:val="0"/>
        <w:color w:val="AA1D4B"/>
        <w:sz w:val="3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135CF6"/>
    <w:multiLevelType w:val="multilevel"/>
    <w:tmpl w:val="41167BA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54B32046"/>
    <w:multiLevelType w:val="hybridMultilevel"/>
    <w:tmpl w:val="C9E25B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5D52355"/>
    <w:multiLevelType w:val="hybridMultilevel"/>
    <w:tmpl w:val="4C76A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6411C7"/>
    <w:multiLevelType w:val="hybridMultilevel"/>
    <w:tmpl w:val="43826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F06F05"/>
    <w:multiLevelType w:val="multilevel"/>
    <w:tmpl w:val="DC2E4A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9E60A2B"/>
    <w:multiLevelType w:val="multilevel"/>
    <w:tmpl w:val="6A9A28B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5AC63763"/>
    <w:multiLevelType w:val="multilevel"/>
    <w:tmpl w:val="3250A6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5C3B023F"/>
    <w:multiLevelType w:val="multilevel"/>
    <w:tmpl w:val="CA5A7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AD25BA"/>
    <w:multiLevelType w:val="multilevel"/>
    <w:tmpl w:val="03A6628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01C5D86"/>
    <w:multiLevelType w:val="multilevel"/>
    <w:tmpl w:val="664E452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63673E23"/>
    <w:multiLevelType w:val="hybridMultilevel"/>
    <w:tmpl w:val="C3925774"/>
    <w:lvl w:ilvl="0" w:tplc="952C25C0">
      <w:numFmt w:val="bullet"/>
      <w:lvlText w:val="-"/>
      <w:lvlJc w:val="left"/>
      <w:pPr>
        <w:ind w:left="720" w:hanging="360"/>
      </w:pPr>
      <w:rPr>
        <w:rFonts w:ascii="Calibri" w:eastAsiaTheme="minorHAnsi" w:hAnsi="Calibri" w:cs="MyriadPro-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0B7999"/>
    <w:multiLevelType w:val="multilevel"/>
    <w:tmpl w:val="7778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7F6B36"/>
    <w:multiLevelType w:val="multilevel"/>
    <w:tmpl w:val="A328B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9B77BF"/>
    <w:multiLevelType w:val="hybridMultilevel"/>
    <w:tmpl w:val="9B50D8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5840A8"/>
    <w:multiLevelType w:val="multilevel"/>
    <w:tmpl w:val="8070C4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68A01219"/>
    <w:multiLevelType w:val="multilevel"/>
    <w:tmpl w:val="11CAD2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6F9D3721"/>
    <w:multiLevelType w:val="multilevel"/>
    <w:tmpl w:val="314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675023"/>
    <w:multiLevelType w:val="multilevel"/>
    <w:tmpl w:val="4DDAF71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7867532D"/>
    <w:multiLevelType w:val="hybridMultilevel"/>
    <w:tmpl w:val="611CCC76"/>
    <w:lvl w:ilvl="0" w:tplc="952C25C0">
      <w:numFmt w:val="bullet"/>
      <w:lvlText w:val="-"/>
      <w:lvlJc w:val="left"/>
      <w:pPr>
        <w:ind w:left="1080" w:hanging="360"/>
      </w:pPr>
      <w:rPr>
        <w:rFonts w:ascii="Calibri" w:eastAsiaTheme="minorHAnsi" w:hAnsi="Calibri" w:cs="MyriadPro-Bold"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7A612455"/>
    <w:multiLevelType w:val="hybridMultilevel"/>
    <w:tmpl w:val="451E0824"/>
    <w:lvl w:ilvl="0" w:tplc="BE6A7ECE">
      <w:start w:val="1"/>
      <w:numFmt w:val="decimal"/>
      <w:lvlText w:val="%1."/>
      <w:lvlJc w:val="left"/>
      <w:pPr>
        <w:ind w:left="786" w:hanging="360"/>
      </w:pPr>
      <w:rPr>
        <w:rFonts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2"/>
  </w:num>
  <w:num w:numId="26">
    <w:abstractNumId w:val="27"/>
  </w:num>
  <w:num w:numId="27">
    <w:abstractNumId w:val="12"/>
  </w:num>
  <w:num w:numId="28">
    <w:abstractNumId w:val="31"/>
  </w:num>
  <w:num w:numId="29">
    <w:abstractNumId w:val="36"/>
  </w:num>
  <w:num w:numId="30">
    <w:abstractNumId w:val="22"/>
  </w:num>
  <w:num w:numId="31">
    <w:abstractNumId w:val="19"/>
  </w:num>
  <w:num w:numId="32">
    <w:abstractNumId w:val="30"/>
  </w:num>
  <w:num w:numId="33">
    <w:abstractNumId w:val="18"/>
  </w:num>
  <w:num w:numId="34">
    <w:abstractNumId w:val="11"/>
  </w:num>
  <w:num w:numId="35">
    <w:abstractNumId w:val="38"/>
  </w:num>
  <w:num w:numId="36">
    <w:abstractNumId w:val="21"/>
  </w:num>
  <w:num w:numId="37">
    <w:abstractNumId w:val="23"/>
  </w:num>
  <w:num w:numId="38">
    <w:abstractNumId w:val="10"/>
  </w:num>
  <w:num w:numId="39">
    <w:abstractNumId w:val="3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F3"/>
    <w:rsid w:val="00085D69"/>
    <w:rsid w:val="00094B62"/>
    <w:rsid w:val="00097ADB"/>
    <w:rsid w:val="000E16A8"/>
    <w:rsid w:val="00104CC3"/>
    <w:rsid w:val="00115C0D"/>
    <w:rsid w:val="00162D4A"/>
    <w:rsid w:val="001C60C5"/>
    <w:rsid w:val="001D529C"/>
    <w:rsid w:val="001D7829"/>
    <w:rsid w:val="0023777C"/>
    <w:rsid w:val="002413CA"/>
    <w:rsid w:val="0026062A"/>
    <w:rsid w:val="0028082C"/>
    <w:rsid w:val="00281A02"/>
    <w:rsid w:val="002820C2"/>
    <w:rsid w:val="002C608B"/>
    <w:rsid w:val="00334076"/>
    <w:rsid w:val="00344495"/>
    <w:rsid w:val="00362961"/>
    <w:rsid w:val="003D0A2F"/>
    <w:rsid w:val="003E130A"/>
    <w:rsid w:val="003E517B"/>
    <w:rsid w:val="00422CF4"/>
    <w:rsid w:val="005318EF"/>
    <w:rsid w:val="00553C1F"/>
    <w:rsid w:val="005A70F3"/>
    <w:rsid w:val="005B7E9D"/>
    <w:rsid w:val="005F718D"/>
    <w:rsid w:val="006261F0"/>
    <w:rsid w:val="006B1AB4"/>
    <w:rsid w:val="0070289C"/>
    <w:rsid w:val="007449E4"/>
    <w:rsid w:val="007477FA"/>
    <w:rsid w:val="00747888"/>
    <w:rsid w:val="00747F37"/>
    <w:rsid w:val="007745BB"/>
    <w:rsid w:val="0079256B"/>
    <w:rsid w:val="00794FD2"/>
    <w:rsid w:val="007A455B"/>
    <w:rsid w:val="007D430A"/>
    <w:rsid w:val="007E111D"/>
    <w:rsid w:val="007E38B1"/>
    <w:rsid w:val="008112CD"/>
    <w:rsid w:val="00837AC7"/>
    <w:rsid w:val="008B5963"/>
    <w:rsid w:val="008B6D19"/>
    <w:rsid w:val="008D78FF"/>
    <w:rsid w:val="00925B71"/>
    <w:rsid w:val="00977899"/>
    <w:rsid w:val="00981DBE"/>
    <w:rsid w:val="009A425A"/>
    <w:rsid w:val="009B00C2"/>
    <w:rsid w:val="009B4587"/>
    <w:rsid w:val="00A10C96"/>
    <w:rsid w:val="00A23A77"/>
    <w:rsid w:val="00A6786D"/>
    <w:rsid w:val="00A75423"/>
    <w:rsid w:val="00AF2ADD"/>
    <w:rsid w:val="00B169AA"/>
    <w:rsid w:val="00B21464"/>
    <w:rsid w:val="00B42441"/>
    <w:rsid w:val="00B62A1C"/>
    <w:rsid w:val="00BF6DAA"/>
    <w:rsid w:val="00C108F3"/>
    <w:rsid w:val="00CC1118"/>
    <w:rsid w:val="00D32CED"/>
    <w:rsid w:val="00DB0758"/>
    <w:rsid w:val="00DE6427"/>
    <w:rsid w:val="00DF5E7E"/>
    <w:rsid w:val="00EA39F0"/>
    <w:rsid w:val="00F00D76"/>
    <w:rsid w:val="00F61A1C"/>
    <w:rsid w:val="00F771EF"/>
    <w:rsid w:val="00F803EC"/>
    <w:rsid w:val="00FB7F6E"/>
    <w:rsid w:val="00FE48A6"/>
    <w:rsid w:val="00FF5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1D3661-D07B-47EE-9CE0-31939435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70F3"/>
    <w:pPr>
      <w:spacing w:after="0" w:line="240" w:lineRule="auto"/>
    </w:pPr>
    <w:rPr>
      <w:rFonts w:ascii="Calibri" w:hAnsi="Calibri" w:cs="Calibri"/>
      <w:lang w:eastAsia="cs-CZ"/>
    </w:rPr>
  </w:style>
  <w:style w:type="paragraph" w:styleId="Nadpis2">
    <w:name w:val="heading 2"/>
    <w:basedOn w:val="Normln"/>
    <w:next w:val="Normln"/>
    <w:link w:val="Nadpis2Char"/>
    <w:uiPriority w:val="9"/>
    <w:semiHidden/>
    <w:unhideWhenUsed/>
    <w:qFormat/>
    <w:rsid w:val="00FF5A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281A02"/>
    <w:pPr>
      <w:spacing w:before="100" w:beforeAutospacing="1" w:after="100" w:afterAutospacing="1"/>
      <w:outlineLvl w:val="2"/>
    </w:pPr>
    <w:rPr>
      <w:rFonts w:ascii="Times New Roman" w:eastAsia="Times New Roman" w:hAnsi="Times New Roman" w:cs="Times New Roman"/>
      <w:b/>
      <w:bCs/>
      <w:color w:val="000000"/>
      <w:sz w:val="31"/>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A70F3"/>
    <w:rPr>
      <w:color w:val="0000FF"/>
      <w:u w:val="single"/>
    </w:rPr>
  </w:style>
  <w:style w:type="paragraph" w:styleId="Normlnweb">
    <w:name w:val="Normal (Web)"/>
    <w:basedOn w:val="Normln"/>
    <w:uiPriority w:val="99"/>
    <w:unhideWhenUsed/>
    <w:rsid w:val="005A70F3"/>
    <w:pPr>
      <w:spacing w:before="100" w:beforeAutospacing="1" w:after="100" w:afterAutospacing="1"/>
    </w:pPr>
  </w:style>
  <w:style w:type="character" w:styleId="Siln">
    <w:name w:val="Strong"/>
    <w:basedOn w:val="Standardnpsmoodstavce"/>
    <w:uiPriority w:val="22"/>
    <w:qFormat/>
    <w:rsid w:val="005A70F3"/>
    <w:rPr>
      <w:b/>
      <w:bCs/>
    </w:rPr>
  </w:style>
  <w:style w:type="character" w:customStyle="1" w:styleId="Nadpis3Char">
    <w:name w:val="Nadpis 3 Char"/>
    <w:basedOn w:val="Standardnpsmoodstavce"/>
    <w:link w:val="Nadpis3"/>
    <w:uiPriority w:val="9"/>
    <w:rsid w:val="00281A02"/>
    <w:rPr>
      <w:rFonts w:ascii="Times New Roman" w:eastAsia="Times New Roman" w:hAnsi="Times New Roman" w:cs="Times New Roman"/>
      <w:b/>
      <w:bCs/>
      <w:color w:val="000000"/>
      <w:sz w:val="31"/>
      <w:szCs w:val="31"/>
      <w:lang w:eastAsia="cs-CZ"/>
    </w:rPr>
  </w:style>
  <w:style w:type="character" w:customStyle="1" w:styleId="rs-note">
    <w:name w:val="rs-note"/>
    <w:basedOn w:val="Standardnpsmoodstavce"/>
    <w:rsid w:val="00EA39F0"/>
  </w:style>
  <w:style w:type="character" w:customStyle="1" w:styleId="Nevyeenzmnka1">
    <w:name w:val="Nevyřešená zmínka1"/>
    <w:basedOn w:val="Standardnpsmoodstavce"/>
    <w:uiPriority w:val="99"/>
    <w:semiHidden/>
    <w:unhideWhenUsed/>
    <w:rsid w:val="000E16A8"/>
    <w:rPr>
      <w:color w:val="808080"/>
      <w:shd w:val="clear" w:color="auto" w:fill="E6E6E6"/>
    </w:rPr>
  </w:style>
  <w:style w:type="character" w:styleId="Sledovanodkaz">
    <w:name w:val="FollowedHyperlink"/>
    <w:basedOn w:val="Standardnpsmoodstavce"/>
    <w:uiPriority w:val="99"/>
    <w:semiHidden/>
    <w:unhideWhenUsed/>
    <w:rsid w:val="00A75423"/>
    <w:rPr>
      <w:color w:val="954F72" w:themeColor="followedHyperlink"/>
      <w:u w:val="single"/>
    </w:rPr>
  </w:style>
  <w:style w:type="paragraph" w:styleId="Odstavecseseznamem">
    <w:name w:val="List Paragraph"/>
    <w:basedOn w:val="Normln"/>
    <w:uiPriority w:val="34"/>
    <w:qFormat/>
    <w:rsid w:val="00A6786D"/>
    <w:pPr>
      <w:ind w:left="720"/>
      <w:contextualSpacing/>
    </w:pPr>
  </w:style>
  <w:style w:type="character" w:customStyle="1" w:styleId="element-blind-user1">
    <w:name w:val="element-blind-user1"/>
    <w:basedOn w:val="Standardnpsmoodstavce"/>
    <w:rsid w:val="003D0A2F"/>
    <w:rPr>
      <w:bdr w:val="none" w:sz="0" w:space="0" w:color="auto" w:frame="1"/>
    </w:rPr>
  </w:style>
  <w:style w:type="character" w:customStyle="1" w:styleId="commentscount">
    <w:name w:val="comments__count"/>
    <w:basedOn w:val="Standardnpsmoodstavce"/>
    <w:rsid w:val="003D0A2F"/>
  </w:style>
  <w:style w:type="character" w:customStyle="1" w:styleId="Nadpis2Char">
    <w:name w:val="Nadpis 2 Char"/>
    <w:basedOn w:val="Standardnpsmoodstavce"/>
    <w:link w:val="Nadpis2"/>
    <w:uiPriority w:val="9"/>
    <w:semiHidden/>
    <w:rsid w:val="00FF5A72"/>
    <w:rPr>
      <w:rFonts w:asciiTheme="majorHAnsi" w:eastAsiaTheme="majorEastAsia" w:hAnsiTheme="majorHAnsi" w:cstheme="majorBidi"/>
      <w:color w:val="2E74B5" w:themeColor="accent1" w:themeShade="BF"/>
      <w:sz w:val="26"/>
      <w:szCs w:val="26"/>
      <w:lang w:eastAsia="cs-CZ"/>
    </w:rPr>
  </w:style>
  <w:style w:type="paragraph" w:styleId="Zhlav">
    <w:name w:val="header"/>
    <w:basedOn w:val="Normln"/>
    <w:link w:val="ZhlavChar"/>
    <w:uiPriority w:val="99"/>
    <w:unhideWhenUsed/>
    <w:rsid w:val="007D430A"/>
    <w:pPr>
      <w:tabs>
        <w:tab w:val="center" w:pos="4536"/>
        <w:tab w:val="right" w:pos="9072"/>
      </w:tabs>
    </w:pPr>
  </w:style>
  <w:style w:type="character" w:customStyle="1" w:styleId="ZhlavChar">
    <w:name w:val="Záhlaví Char"/>
    <w:basedOn w:val="Standardnpsmoodstavce"/>
    <w:link w:val="Zhlav"/>
    <w:uiPriority w:val="99"/>
    <w:rsid w:val="007D430A"/>
    <w:rPr>
      <w:rFonts w:ascii="Calibri" w:hAnsi="Calibri" w:cs="Calibri"/>
      <w:lang w:eastAsia="cs-CZ"/>
    </w:rPr>
  </w:style>
  <w:style w:type="paragraph" w:styleId="Zpat">
    <w:name w:val="footer"/>
    <w:basedOn w:val="Normln"/>
    <w:link w:val="ZpatChar"/>
    <w:uiPriority w:val="99"/>
    <w:unhideWhenUsed/>
    <w:rsid w:val="007D430A"/>
    <w:pPr>
      <w:tabs>
        <w:tab w:val="center" w:pos="4536"/>
        <w:tab w:val="right" w:pos="9072"/>
      </w:tabs>
    </w:pPr>
  </w:style>
  <w:style w:type="character" w:customStyle="1" w:styleId="ZpatChar">
    <w:name w:val="Zápatí Char"/>
    <w:basedOn w:val="Standardnpsmoodstavce"/>
    <w:link w:val="Zpat"/>
    <w:uiPriority w:val="99"/>
    <w:rsid w:val="007D430A"/>
    <w:rPr>
      <w:rFonts w:ascii="Calibri" w:hAnsi="Calibri" w:cs="Calibri"/>
      <w:lang w:eastAsia="cs-CZ"/>
    </w:rPr>
  </w:style>
  <w:style w:type="paragraph" w:styleId="Textbubliny">
    <w:name w:val="Balloon Text"/>
    <w:basedOn w:val="Normln"/>
    <w:link w:val="TextbublinyChar"/>
    <w:uiPriority w:val="99"/>
    <w:semiHidden/>
    <w:unhideWhenUsed/>
    <w:rsid w:val="007745BB"/>
    <w:rPr>
      <w:rFonts w:ascii="Tahoma" w:hAnsi="Tahoma" w:cs="Tahoma"/>
      <w:sz w:val="16"/>
      <w:szCs w:val="16"/>
    </w:rPr>
  </w:style>
  <w:style w:type="character" w:customStyle="1" w:styleId="TextbublinyChar">
    <w:name w:val="Text bubliny Char"/>
    <w:basedOn w:val="Standardnpsmoodstavce"/>
    <w:link w:val="Textbubliny"/>
    <w:uiPriority w:val="99"/>
    <w:semiHidden/>
    <w:rsid w:val="007745BB"/>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8778">
      <w:bodyDiv w:val="1"/>
      <w:marLeft w:val="0"/>
      <w:marRight w:val="0"/>
      <w:marTop w:val="0"/>
      <w:marBottom w:val="0"/>
      <w:divBdr>
        <w:top w:val="none" w:sz="0" w:space="0" w:color="auto"/>
        <w:left w:val="none" w:sz="0" w:space="0" w:color="auto"/>
        <w:bottom w:val="none" w:sz="0" w:space="0" w:color="auto"/>
        <w:right w:val="none" w:sz="0" w:space="0" w:color="auto"/>
      </w:divBdr>
      <w:divsChild>
        <w:div w:id="1804545664">
          <w:marLeft w:val="0"/>
          <w:marRight w:val="0"/>
          <w:marTop w:val="0"/>
          <w:marBottom w:val="0"/>
          <w:divBdr>
            <w:top w:val="none" w:sz="0" w:space="0" w:color="auto"/>
            <w:left w:val="none" w:sz="0" w:space="0" w:color="auto"/>
            <w:bottom w:val="none" w:sz="0" w:space="0" w:color="auto"/>
            <w:right w:val="none" w:sz="0" w:space="0" w:color="auto"/>
          </w:divBdr>
          <w:divsChild>
            <w:div w:id="2126121941">
              <w:marLeft w:val="0"/>
              <w:marRight w:val="0"/>
              <w:marTop w:val="0"/>
              <w:marBottom w:val="0"/>
              <w:divBdr>
                <w:top w:val="none" w:sz="0" w:space="0" w:color="auto"/>
                <w:left w:val="none" w:sz="0" w:space="0" w:color="auto"/>
                <w:bottom w:val="none" w:sz="0" w:space="0" w:color="auto"/>
                <w:right w:val="none" w:sz="0" w:space="0" w:color="auto"/>
              </w:divBdr>
              <w:divsChild>
                <w:div w:id="263922260">
                  <w:marLeft w:val="0"/>
                  <w:marRight w:val="0"/>
                  <w:marTop w:val="0"/>
                  <w:marBottom w:val="0"/>
                  <w:divBdr>
                    <w:top w:val="none" w:sz="0" w:space="0" w:color="auto"/>
                    <w:left w:val="none" w:sz="0" w:space="0" w:color="auto"/>
                    <w:bottom w:val="none" w:sz="0" w:space="0" w:color="auto"/>
                    <w:right w:val="none" w:sz="0" w:space="0" w:color="auto"/>
                  </w:divBdr>
                  <w:divsChild>
                    <w:div w:id="2077121706">
                      <w:marLeft w:val="0"/>
                      <w:marRight w:val="0"/>
                      <w:marTop w:val="0"/>
                      <w:marBottom w:val="0"/>
                      <w:divBdr>
                        <w:top w:val="none" w:sz="0" w:space="0" w:color="auto"/>
                        <w:left w:val="none" w:sz="0" w:space="0" w:color="auto"/>
                        <w:bottom w:val="none" w:sz="0" w:space="0" w:color="auto"/>
                        <w:right w:val="none" w:sz="0" w:space="0" w:color="auto"/>
                      </w:divBdr>
                      <w:divsChild>
                        <w:div w:id="1426027731">
                          <w:marLeft w:val="0"/>
                          <w:marRight w:val="0"/>
                          <w:marTop w:val="0"/>
                          <w:marBottom w:val="0"/>
                          <w:divBdr>
                            <w:top w:val="none" w:sz="0" w:space="0" w:color="auto"/>
                            <w:left w:val="none" w:sz="0" w:space="0" w:color="auto"/>
                            <w:bottom w:val="none" w:sz="0" w:space="0" w:color="auto"/>
                            <w:right w:val="none" w:sz="0" w:space="0" w:color="auto"/>
                          </w:divBdr>
                          <w:divsChild>
                            <w:div w:id="1529295818">
                              <w:marLeft w:val="0"/>
                              <w:marRight w:val="0"/>
                              <w:marTop w:val="0"/>
                              <w:marBottom w:val="0"/>
                              <w:divBdr>
                                <w:top w:val="none" w:sz="0" w:space="0" w:color="auto"/>
                                <w:left w:val="none" w:sz="0" w:space="0" w:color="auto"/>
                                <w:bottom w:val="none" w:sz="0" w:space="0" w:color="auto"/>
                                <w:right w:val="none" w:sz="0" w:space="0" w:color="auto"/>
                              </w:divBdr>
                              <w:divsChild>
                                <w:div w:id="921719953">
                                  <w:marLeft w:val="0"/>
                                  <w:marRight w:val="0"/>
                                  <w:marTop w:val="0"/>
                                  <w:marBottom w:val="0"/>
                                  <w:divBdr>
                                    <w:top w:val="none" w:sz="0" w:space="0" w:color="auto"/>
                                    <w:left w:val="none" w:sz="0" w:space="0" w:color="auto"/>
                                    <w:bottom w:val="none" w:sz="0" w:space="0" w:color="auto"/>
                                    <w:right w:val="none" w:sz="0" w:space="0" w:color="auto"/>
                                  </w:divBdr>
                                  <w:divsChild>
                                    <w:div w:id="288436859">
                                      <w:marLeft w:val="0"/>
                                      <w:marRight w:val="0"/>
                                      <w:marTop w:val="0"/>
                                      <w:marBottom w:val="0"/>
                                      <w:divBdr>
                                        <w:top w:val="none" w:sz="0" w:space="0" w:color="auto"/>
                                        <w:left w:val="none" w:sz="0" w:space="0" w:color="auto"/>
                                        <w:bottom w:val="single" w:sz="12" w:space="0" w:color="6C8798"/>
                                        <w:right w:val="none" w:sz="0" w:space="0" w:color="auto"/>
                                      </w:divBdr>
                                    </w:div>
                                  </w:divsChild>
                                </w:div>
                              </w:divsChild>
                            </w:div>
                          </w:divsChild>
                        </w:div>
                      </w:divsChild>
                    </w:div>
                  </w:divsChild>
                </w:div>
              </w:divsChild>
            </w:div>
          </w:divsChild>
        </w:div>
      </w:divsChild>
    </w:div>
    <w:div w:id="240218979">
      <w:bodyDiv w:val="1"/>
      <w:marLeft w:val="0"/>
      <w:marRight w:val="0"/>
      <w:marTop w:val="0"/>
      <w:marBottom w:val="0"/>
      <w:divBdr>
        <w:top w:val="none" w:sz="0" w:space="0" w:color="auto"/>
        <w:left w:val="none" w:sz="0" w:space="0" w:color="auto"/>
        <w:bottom w:val="none" w:sz="0" w:space="0" w:color="auto"/>
        <w:right w:val="none" w:sz="0" w:space="0" w:color="auto"/>
      </w:divBdr>
      <w:divsChild>
        <w:div w:id="736319725">
          <w:marLeft w:val="0"/>
          <w:marRight w:val="0"/>
          <w:marTop w:val="0"/>
          <w:marBottom w:val="0"/>
          <w:divBdr>
            <w:top w:val="none" w:sz="0" w:space="0" w:color="auto"/>
            <w:left w:val="none" w:sz="0" w:space="0" w:color="auto"/>
            <w:bottom w:val="none" w:sz="0" w:space="0" w:color="auto"/>
            <w:right w:val="none" w:sz="0" w:space="0" w:color="auto"/>
          </w:divBdr>
          <w:divsChild>
            <w:div w:id="1143279551">
              <w:marLeft w:val="0"/>
              <w:marRight w:val="0"/>
              <w:marTop w:val="0"/>
              <w:marBottom w:val="0"/>
              <w:divBdr>
                <w:top w:val="none" w:sz="0" w:space="0" w:color="auto"/>
                <w:left w:val="none" w:sz="0" w:space="0" w:color="auto"/>
                <w:bottom w:val="none" w:sz="0" w:space="0" w:color="auto"/>
                <w:right w:val="none" w:sz="0" w:space="0" w:color="auto"/>
              </w:divBdr>
              <w:divsChild>
                <w:div w:id="38944637">
                  <w:marLeft w:val="0"/>
                  <w:marRight w:val="0"/>
                  <w:marTop w:val="0"/>
                  <w:marBottom w:val="0"/>
                  <w:divBdr>
                    <w:top w:val="none" w:sz="0" w:space="0" w:color="auto"/>
                    <w:left w:val="none" w:sz="0" w:space="0" w:color="auto"/>
                    <w:bottom w:val="none" w:sz="0" w:space="0" w:color="auto"/>
                    <w:right w:val="none" w:sz="0" w:space="0" w:color="auto"/>
                  </w:divBdr>
                  <w:divsChild>
                    <w:div w:id="434519131">
                      <w:marLeft w:val="0"/>
                      <w:marRight w:val="0"/>
                      <w:marTop w:val="0"/>
                      <w:marBottom w:val="0"/>
                      <w:divBdr>
                        <w:top w:val="none" w:sz="0" w:space="0" w:color="auto"/>
                        <w:left w:val="none" w:sz="0" w:space="0" w:color="auto"/>
                        <w:bottom w:val="none" w:sz="0" w:space="0" w:color="auto"/>
                        <w:right w:val="none" w:sz="0" w:space="0" w:color="auto"/>
                      </w:divBdr>
                      <w:divsChild>
                        <w:div w:id="1188443474">
                          <w:marLeft w:val="0"/>
                          <w:marRight w:val="0"/>
                          <w:marTop w:val="0"/>
                          <w:marBottom w:val="0"/>
                          <w:divBdr>
                            <w:top w:val="none" w:sz="0" w:space="0" w:color="auto"/>
                            <w:left w:val="none" w:sz="0" w:space="0" w:color="auto"/>
                            <w:bottom w:val="none" w:sz="0" w:space="0" w:color="auto"/>
                            <w:right w:val="none" w:sz="0" w:space="0" w:color="auto"/>
                          </w:divBdr>
                          <w:divsChild>
                            <w:div w:id="821317375">
                              <w:marLeft w:val="0"/>
                              <w:marRight w:val="0"/>
                              <w:marTop w:val="0"/>
                              <w:marBottom w:val="0"/>
                              <w:divBdr>
                                <w:top w:val="none" w:sz="0" w:space="0" w:color="auto"/>
                                <w:left w:val="none" w:sz="0" w:space="0" w:color="auto"/>
                                <w:bottom w:val="none" w:sz="0" w:space="0" w:color="auto"/>
                                <w:right w:val="none" w:sz="0" w:space="0" w:color="auto"/>
                              </w:divBdr>
                              <w:divsChild>
                                <w:div w:id="1563056265">
                                  <w:marLeft w:val="0"/>
                                  <w:marRight w:val="0"/>
                                  <w:marTop w:val="0"/>
                                  <w:marBottom w:val="0"/>
                                  <w:divBdr>
                                    <w:top w:val="none" w:sz="0" w:space="0" w:color="auto"/>
                                    <w:left w:val="none" w:sz="0" w:space="0" w:color="auto"/>
                                    <w:bottom w:val="none" w:sz="0" w:space="0" w:color="auto"/>
                                    <w:right w:val="none" w:sz="0" w:space="0" w:color="auto"/>
                                  </w:divBdr>
                                  <w:divsChild>
                                    <w:div w:id="5394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6185">
                              <w:marLeft w:val="0"/>
                              <w:marRight w:val="0"/>
                              <w:marTop w:val="0"/>
                              <w:marBottom w:val="0"/>
                              <w:divBdr>
                                <w:top w:val="none" w:sz="0" w:space="0" w:color="auto"/>
                                <w:left w:val="none" w:sz="0" w:space="0" w:color="auto"/>
                                <w:bottom w:val="none" w:sz="0" w:space="0" w:color="auto"/>
                                <w:right w:val="none" w:sz="0" w:space="0" w:color="auto"/>
                              </w:divBdr>
                              <w:divsChild>
                                <w:div w:id="1258366121">
                                  <w:marLeft w:val="0"/>
                                  <w:marRight w:val="0"/>
                                  <w:marTop w:val="0"/>
                                  <w:marBottom w:val="0"/>
                                  <w:divBdr>
                                    <w:top w:val="none" w:sz="0" w:space="0" w:color="auto"/>
                                    <w:left w:val="none" w:sz="0" w:space="0" w:color="auto"/>
                                    <w:bottom w:val="none" w:sz="0" w:space="0" w:color="auto"/>
                                    <w:right w:val="none" w:sz="0" w:space="0" w:color="auto"/>
                                  </w:divBdr>
                                  <w:divsChild>
                                    <w:div w:id="546911606">
                                      <w:marLeft w:val="0"/>
                                      <w:marRight w:val="0"/>
                                      <w:marTop w:val="0"/>
                                      <w:marBottom w:val="0"/>
                                      <w:divBdr>
                                        <w:top w:val="none" w:sz="0" w:space="0" w:color="auto"/>
                                        <w:left w:val="none" w:sz="0" w:space="0" w:color="auto"/>
                                        <w:bottom w:val="none" w:sz="0" w:space="0" w:color="auto"/>
                                        <w:right w:val="none" w:sz="0" w:space="0" w:color="auto"/>
                                      </w:divBdr>
                                    </w:div>
                                    <w:div w:id="19877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800">
                              <w:marLeft w:val="0"/>
                              <w:marRight w:val="0"/>
                              <w:marTop w:val="0"/>
                              <w:marBottom w:val="0"/>
                              <w:divBdr>
                                <w:top w:val="none" w:sz="0" w:space="0" w:color="auto"/>
                                <w:left w:val="none" w:sz="0" w:space="0" w:color="auto"/>
                                <w:bottom w:val="none" w:sz="0" w:space="0" w:color="auto"/>
                                <w:right w:val="none" w:sz="0" w:space="0" w:color="auto"/>
                              </w:divBdr>
                              <w:divsChild>
                                <w:div w:id="9722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103445">
      <w:bodyDiv w:val="1"/>
      <w:marLeft w:val="0"/>
      <w:marRight w:val="0"/>
      <w:marTop w:val="0"/>
      <w:marBottom w:val="0"/>
      <w:divBdr>
        <w:top w:val="none" w:sz="0" w:space="0" w:color="auto"/>
        <w:left w:val="none" w:sz="0" w:space="0" w:color="auto"/>
        <w:bottom w:val="none" w:sz="0" w:space="0" w:color="auto"/>
        <w:right w:val="none" w:sz="0" w:space="0" w:color="auto"/>
      </w:divBdr>
    </w:div>
    <w:div w:id="1225722100">
      <w:bodyDiv w:val="1"/>
      <w:marLeft w:val="0"/>
      <w:marRight w:val="0"/>
      <w:marTop w:val="0"/>
      <w:marBottom w:val="0"/>
      <w:divBdr>
        <w:top w:val="none" w:sz="0" w:space="0" w:color="auto"/>
        <w:left w:val="none" w:sz="0" w:space="0" w:color="auto"/>
        <w:bottom w:val="none" w:sz="0" w:space="0" w:color="auto"/>
        <w:right w:val="none" w:sz="0" w:space="0" w:color="auto"/>
      </w:divBdr>
      <w:divsChild>
        <w:div w:id="1076630848">
          <w:marLeft w:val="0"/>
          <w:marRight w:val="0"/>
          <w:marTop w:val="0"/>
          <w:marBottom w:val="0"/>
          <w:divBdr>
            <w:top w:val="none" w:sz="0" w:space="0" w:color="auto"/>
            <w:left w:val="none" w:sz="0" w:space="0" w:color="auto"/>
            <w:bottom w:val="none" w:sz="0" w:space="0" w:color="auto"/>
            <w:right w:val="none" w:sz="0" w:space="0" w:color="auto"/>
          </w:divBdr>
          <w:divsChild>
            <w:div w:id="29110864">
              <w:marLeft w:val="0"/>
              <w:marRight w:val="0"/>
              <w:marTop w:val="0"/>
              <w:marBottom w:val="0"/>
              <w:divBdr>
                <w:top w:val="none" w:sz="0" w:space="0" w:color="auto"/>
                <w:left w:val="none" w:sz="0" w:space="0" w:color="auto"/>
                <w:bottom w:val="none" w:sz="0" w:space="0" w:color="auto"/>
                <w:right w:val="none" w:sz="0" w:space="0" w:color="auto"/>
              </w:divBdr>
              <w:divsChild>
                <w:div w:id="953484231">
                  <w:marLeft w:val="0"/>
                  <w:marRight w:val="0"/>
                  <w:marTop w:val="0"/>
                  <w:marBottom w:val="0"/>
                  <w:divBdr>
                    <w:top w:val="none" w:sz="0" w:space="0" w:color="auto"/>
                    <w:left w:val="none" w:sz="0" w:space="0" w:color="auto"/>
                    <w:bottom w:val="none" w:sz="0" w:space="0" w:color="auto"/>
                    <w:right w:val="none" w:sz="0" w:space="0" w:color="auto"/>
                  </w:divBdr>
                  <w:divsChild>
                    <w:div w:id="1428426394">
                      <w:marLeft w:val="0"/>
                      <w:marRight w:val="0"/>
                      <w:marTop w:val="0"/>
                      <w:marBottom w:val="0"/>
                      <w:divBdr>
                        <w:top w:val="none" w:sz="0" w:space="0" w:color="auto"/>
                        <w:left w:val="none" w:sz="0" w:space="0" w:color="auto"/>
                        <w:bottom w:val="none" w:sz="0" w:space="0" w:color="auto"/>
                        <w:right w:val="none" w:sz="0" w:space="0" w:color="auto"/>
                      </w:divBdr>
                      <w:divsChild>
                        <w:div w:id="1061368047">
                          <w:marLeft w:val="0"/>
                          <w:marRight w:val="0"/>
                          <w:marTop w:val="0"/>
                          <w:marBottom w:val="0"/>
                          <w:divBdr>
                            <w:top w:val="none" w:sz="0" w:space="0" w:color="auto"/>
                            <w:left w:val="none" w:sz="0" w:space="0" w:color="auto"/>
                            <w:bottom w:val="none" w:sz="0" w:space="0" w:color="auto"/>
                            <w:right w:val="none" w:sz="0" w:space="0" w:color="auto"/>
                          </w:divBdr>
                          <w:divsChild>
                            <w:div w:id="52124767">
                              <w:marLeft w:val="0"/>
                              <w:marRight w:val="0"/>
                              <w:marTop w:val="0"/>
                              <w:marBottom w:val="0"/>
                              <w:divBdr>
                                <w:top w:val="none" w:sz="0" w:space="0" w:color="auto"/>
                                <w:left w:val="none" w:sz="0" w:space="0" w:color="auto"/>
                                <w:bottom w:val="none" w:sz="0" w:space="0" w:color="auto"/>
                                <w:right w:val="none" w:sz="0" w:space="0" w:color="auto"/>
                              </w:divBdr>
                              <w:divsChild>
                                <w:div w:id="683944583">
                                  <w:marLeft w:val="0"/>
                                  <w:marRight w:val="0"/>
                                  <w:marTop w:val="0"/>
                                  <w:marBottom w:val="0"/>
                                  <w:divBdr>
                                    <w:top w:val="none" w:sz="0" w:space="0" w:color="auto"/>
                                    <w:left w:val="none" w:sz="0" w:space="0" w:color="auto"/>
                                    <w:bottom w:val="none" w:sz="0" w:space="0" w:color="auto"/>
                                    <w:right w:val="none" w:sz="0" w:space="0" w:color="auto"/>
                                  </w:divBdr>
                                  <w:divsChild>
                                    <w:div w:id="49380065">
                                      <w:marLeft w:val="0"/>
                                      <w:marRight w:val="0"/>
                                      <w:marTop w:val="0"/>
                                      <w:marBottom w:val="0"/>
                                      <w:divBdr>
                                        <w:top w:val="none" w:sz="0" w:space="0" w:color="auto"/>
                                        <w:left w:val="none" w:sz="0" w:space="0" w:color="auto"/>
                                        <w:bottom w:val="none" w:sz="0" w:space="0" w:color="auto"/>
                                        <w:right w:val="none" w:sz="0" w:space="0" w:color="auto"/>
                                      </w:divBdr>
                                      <w:divsChild>
                                        <w:div w:id="432240321">
                                          <w:marLeft w:val="0"/>
                                          <w:marRight w:val="0"/>
                                          <w:marTop w:val="0"/>
                                          <w:marBottom w:val="0"/>
                                          <w:divBdr>
                                            <w:top w:val="none" w:sz="0" w:space="0" w:color="auto"/>
                                            <w:left w:val="none" w:sz="0" w:space="0" w:color="auto"/>
                                            <w:bottom w:val="none" w:sz="0" w:space="0" w:color="auto"/>
                                            <w:right w:val="none" w:sz="0" w:space="0" w:color="auto"/>
                                          </w:divBdr>
                                          <w:divsChild>
                                            <w:div w:id="972635578">
                                              <w:marLeft w:val="0"/>
                                              <w:marRight w:val="0"/>
                                              <w:marTop w:val="0"/>
                                              <w:marBottom w:val="300"/>
                                              <w:divBdr>
                                                <w:top w:val="none" w:sz="0" w:space="0" w:color="auto"/>
                                                <w:left w:val="none" w:sz="0" w:space="0" w:color="auto"/>
                                                <w:bottom w:val="none" w:sz="0" w:space="0" w:color="auto"/>
                                                <w:right w:val="none" w:sz="0" w:space="0" w:color="auto"/>
                                              </w:divBdr>
                                              <w:divsChild>
                                                <w:div w:id="12720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699139">
      <w:bodyDiv w:val="1"/>
      <w:marLeft w:val="0"/>
      <w:marRight w:val="0"/>
      <w:marTop w:val="0"/>
      <w:marBottom w:val="0"/>
      <w:divBdr>
        <w:top w:val="none" w:sz="0" w:space="0" w:color="auto"/>
        <w:left w:val="none" w:sz="0" w:space="0" w:color="auto"/>
        <w:bottom w:val="none" w:sz="0" w:space="0" w:color="auto"/>
        <w:right w:val="none" w:sz="0" w:space="0" w:color="auto"/>
      </w:divBdr>
      <w:divsChild>
        <w:div w:id="725221591">
          <w:marLeft w:val="0"/>
          <w:marRight w:val="0"/>
          <w:marTop w:val="0"/>
          <w:marBottom w:val="0"/>
          <w:divBdr>
            <w:top w:val="none" w:sz="0" w:space="0" w:color="auto"/>
            <w:left w:val="none" w:sz="0" w:space="0" w:color="auto"/>
            <w:bottom w:val="none" w:sz="0" w:space="0" w:color="auto"/>
            <w:right w:val="none" w:sz="0" w:space="0" w:color="auto"/>
          </w:divBdr>
          <w:divsChild>
            <w:div w:id="2139764804">
              <w:marLeft w:val="0"/>
              <w:marRight w:val="0"/>
              <w:marTop w:val="0"/>
              <w:marBottom w:val="0"/>
              <w:divBdr>
                <w:top w:val="none" w:sz="0" w:space="0" w:color="auto"/>
                <w:left w:val="none" w:sz="0" w:space="0" w:color="auto"/>
                <w:bottom w:val="none" w:sz="0" w:space="0" w:color="auto"/>
                <w:right w:val="none" w:sz="0" w:space="0" w:color="auto"/>
              </w:divBdr>
              <w:divsChild>
                <w:div w:id="989867314">
                  <w:marLeft w:val="0"/>
                  <w:marRight w:val="0"/>
                  <w:marTop w:val="0"/>
                  <w:marBottom w:val="0"/>
                  <w:divBdr>
                    <w:top w:val="none" w:sz="0" w:space="0" w:color="auto"/>
                    <w:left w:val="none" w:sz="0" w:space="0" w:color="auto"/>
                    <w:bottom w:val="none" w:sz="0" w:space="0" w:color="auto"/>
                    <w:right w:val="none" w:sz="0" w:space="0" w:color="auto"/>
                  </w:divBdr>
                  <w:divsChild>
                    <w:div w:id="1468473608">
                      <w:marLeft w:val="0"/>
                      <w:marRight w:val="0"/>
                      <w:marTop w:val="0"/>
                      <w:marBottom w:val="0"/>
                      <w:divBdr>
                        <w:top w:val="none" w:sz="0" w:space="0" w:color="auto"/>
                        <w:left w:val="none" w:sz="0" w:space="0" w:color="auto"/>
                        <w:bottom w:val="none" w:sz="0" w:space="0" w:color="auto"/>
                        <w:right w:val="none" w:sz="0" w:space="0" w:color="auto"/>
                      </w:divBdr>
                      <w:divsChild>
                        <w:div w:id="1789425815">
                          <w:marLeft w:val="0"/>
                          <w:marRight w:val="0"/>
                          <w:marTop w:val="0"/>
                          <w:marBottom w:val="0"/>
                          <w:divBdr>
                            <w:top w:val="none" w:sz="0" w:space="0" w:color="auto"/>
                            <w:left w:val="none" w:sz="0" w:space="0" w:color="auto"/>
                            <w:bottom w:val="none" w:sz="0" w:space="0" w:color="auto"/>
                            <w:right w:val="none" w:sz="0" w:space="0" w:color="auto"/>
                          </w:divBdr>
                          <w:divsChild>
                            <w:div w:id="243683196">
                              <w:marLeft w:val="0"/>
                              <w:marRight w:val="0"/>
                              <w:marTop w:val="0"/>
                              <w:marBottom w:val="0"/>
                              <w:divBdr>
                                <w:top w:val="none" w:sz="0" w:space="0" w:color="auto"/>
                                <w:left w:val="none" w:sz="0" w:space="0" w:color="auto"/>
                                <w:bottom w:val="none" w:sz="0" w:space="0" w:color="auto"/>
                                <w:right w:val="none" w:sz="0" w:space="0" w:color="auto"/>
                              </w:divBdr>
                              <w:divsChild>
                                <w:div w:id="826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205079">
      <w:bodyDiv w:val="1"/>
      <w:marLeft w:val="0"/>
      <w:marRight w:val="0"/>
      <w:marTop w:val="0"/>
      <w:marBottom w:val="0"/>
      <w:divBdr>
        <w:top w:val="none" w:sz="0" w:space="0" w:color="auto"/>
        <w:left w:val="none" w:sz="0" w:space="0" w:color="auto"/>
        <w:bottom w:val="none" w:sz="0" w:space="0" w:color="auto"/>
        <w:right w:val="none" w:sz="0" w:space="0" w:color="auto"/>
      </w:divBdr>
      <w:divsChild>
        <w:div w:id="1712224333">
          <w:marLeft w:val="0"/>
          <w:marRight w:val="0"/>
          <w:marTop w:val="0"/>
          <w:marBottom w:val="0"/>
          <w:divBdr>
            <w:top w:val="none" w:sz="0" w:space="0" w:color="auto"/>
            <w:left w:val="none" w:sz="0" w:space="0" w:color="auto"/>
            <w:bottom w:val="none" w:sz="0" w:space="0" w:color="auto"/>
            <w:right w:val="none" w:sz="0" w:space="0" w:color="auto"/>
          </w:divBdr>
          <w:divsChild>
            <w:div w:id="943541149">
              <w:marLeft w:val="0"/>
              <w:marRight w:val="0"/>
              <w:marTop w:val="0"/>
              <w:marBottom w:val="0"/>
              <w:divBdr>
                <w:top w:val="none" w:sz="0" w:space="0" w:color="auto"/>
                <w:left w:val="none" w:sz="0" w:space="0" w:color="auto"/>
                <w:bottom w:val="none" w:sz="0" w:space="0" w:color="auto"/>
                <w:right w:val="none" w:sz="0" w:space="0" w:color="auto"/>
              </w:divBdr>
              <w:divsChild>
                <w:div w:id="1741367630">
                  <w:marLeft w:val="0"/>
                  <w:marRight w:val="0"/>
                  <w:marTop w:val="0"/>
                  <w:marBottom w:val="0"/>
                  <w:divBdr>
                    <w:top w:val="none" w:sz="0" w:space="0" w:color="auto"/>
                    <w:left w:val="none" w:sz="0" w:space="0" w:color="auto"/>
                    <w:bottom w:val="none" w:sz="0" w:space="0" w:color="auto"/>
                    <w:right w:val="none" w:sz="0" w:space="0" w:color="auto"/>
                  </w:divBdr>
                  <w:divsChild>
                    <w:div w:id="1227646959">
                      <w:marLeft w:val="0"/>
                      <w:marRight w:val="0"/>
                      <w:marTop w:val="0"/>
                      <w:marBottom w:val="0"/>
                      <w:divBdr>
                        <w:top w:val="none" w:sz="0" w:space="0" w:color="auto"/>
                        <w:left w:val="none" w:sz="0" w:space="0" w:color="auto"/>
                        <w:bottom w:val="none" w:sz="0" w:space="0" w:color="auto"/>
                        <w:right w:val="none" w:sz="0" w:space="0" w:color="auto"/>
                      </w:divBdr>
                      <w:divsChild>
                        <w:div w:id="1789666055">
                          <w:marLeft w:val="0"/>
                          <w:marRight w:val="0"/>
                          <w:marTop w:val="0"/>
                          <w:marBottom w:val="0"/>
                          <w:divBdr>
                            <w:top w:val="none" w:sz="0" w:space="0" w:color="auto"/>
                            <w:left w:val="none" w:sz="0" w:space="0" w:color="auto"/>
                            <w:bottom w:val="none" w:sz="0" w:space="0" w:color="auto"/>
                            <w:right w:val="none" w:sz="0" w:space="0" w:color="auto"/>
                          </w:divBdr>
                          <w:divsChild>
                            <w:div w:id="16697535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09425">
      <w:bodyDiv w:val="1"/>
      <w:marLeft w:val="0"/>
      <w:marRight w:val="0"/>
      <w:marTop w:val="0"/>
      <w:marBottom w:val="0"/>
      <w:divBdr>
        <w:top w:val="none" w:sz="0" w:space="0" w:color="auto"/>
        <w:left w:val="none" w:sz="0" w:space="0" w:color="auto"/>
        <w:bottom w:val="none" w:sz="0" w:space="0" w:color="auto"/>
        <w:right w:val="none" w:sz="0" w:space="0" w:color="auto"/>
      </w:divBdr>
      <w:divsChild>
        <w:div w:id="165630540">
          <w:marLeft w:val="0"/>
          <w:marRight w:val="0"/>
          <w:marTop w:val="0"/>
          <w:marBottom w:val="0"/>
          <w:divBdr>
            <w:top w:val="none" w:sz="0" w:space="0" w:color="auto"/>
            <w:left w:val="none" w:sz="0" w:space="0" w:color="auto"/>
            <w:bottom w:val="none" w:sz="0" w:space="0" w:color="auto"/>
            <w:right w:val="none" w:sz="0" w:space="0" w:color="auto"/>
          </w:divBdr>
          <w:divsChild>
            <w:div w:id="1991640024">
              <w:marLeft w:val="0"/>
              <w:marRight w:val="0"/>
              <w:marTop w:val="0"/>
              <w:marBottom w:val="0"/>
              <w:divBdr>
                <w:top w:val="none" w:sz="0" w:space="0" w:color="E1E1E1"/>
                <w:left w:val="none" w:sz="0" w:space="0" w:color="E1E1E1"/>
                <w:bottom w:val="none" w:sz="0" w:space="0" w:color="E1E1E1"/>
                <w:right w:val="none" w:sz="0" w:space="0" w:color="E1E1E1"/>
              </w:divBdr>
              <w:divsChild>
                <w:div w:id="153553644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19962403">
                          <w:marLeft w:val="0"/>
                          <w:marRight w:val="0"/>
                          <w:marTop w:val="0"/>
                          <w:marBottom w:val="0"/>
                          <w:divBdr>
                            <w:top w:val="none" w:sz="0" w:space="0" w:color="auto"/>
                            <w:left w:val="none" w:sz="0" w:space="0" w:color="auto"/>
                            <w:bottom w:val="none" w:sz="0" w:space="0" w:color="auto"/>
                            <w:right w:val="none" w:sz="0" w:space="0" w:color="auto"/>
                          </w:divBdr>
                          <w:divsChild>
                            <w:div w:id="14564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71940">
      <w:bodyDiv w:val="1"/>
      <w:marLeft w:val="0"/>
      <w:marRight w:val="0"/>
      <w:marTop w:val="0"/>
      <w:marBottom w:val="0"/>
      <w:divBdr>
        <w:top w:val="none" w:sz="0" w:space="0" w:color="auto"/>
        <w:left w:val="none" w:sz="0" w:space="0" w:color="auto"/>
        <w:bottom w:val="none" w:sz="0" w:space="0" w:color="auto"/>
        <w:right w:val="none" w:sz="0" w:space="0" w:color="auto"/>
      </w:divBdr>
      <w:divsChild>
        <w:div w:id="2105109597">
          <w:marLeft w:val="0"/>
          <w:marRight w:val="0"/>
          <w:marTop w:val="0"/>
          <w:marBottom w:val="0"/>
          <w:divBdr>
            <w:top w:val="none" w:sz="0" w:space="0" w:color="auto"/>
            <w:left w:val="none" w:sz="0" w:space="0" w:color="auto"/>
            <w:bottom w:val="none" w:sz="0" w:space="0" w:color="auto"/>
            <w:right w:val="none" w:sz="0" w:space="0" w:color="auto"/>
          </w:divBdr>
          <w:divsChild>
            <w:div w:id="342099017">
              <w:marLeft w:val="0"/>
              <w:marRight w:val="0"/>
              <w:marTop w:val="0"/>
              <w:marBottom w:val="0"/>
              <w:divBdr>
                <w:top w:val="none" w:sz="0" w:space="0" w:color="auto"/>
                <w:left w:val="none" w:sz="0" w:space="0" w:color="auto"/>
                <w:bottom w:val="none" w:sz="0" w:space="0" w:color="auto"/>
                <w:right w:val="none" w:sz="0" w:space="0" w:color="auto"/>
              </w:divBdr>
              <w:divsChild>
                <w:div w:id="1455127955">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303119834">
                          <w:marLeft w:val="0"/>
                          <w:marRight w:val="0"/>
                          <w:marTop w:val="0"/>
                          <w:marBottom w:val="0"/>
                          <w:divBdr>
                            <w:top w:val="none" w:sz="0" w:space="0" w:color="auto"/>
                            <w:left w:val="none" w:sz="0" w:space="0" w:color="auto"/>
                            <w:bottom w:val="none" w:sz="0" w:space="0" w:color="auto"/>
                            <w:right w:val="none" w:sz="0" w:space="0" w:color="auto"/>
                          </w:divBdr>
                          <w:divsChild>
                            <w:div w:id="1750270509">
                              <w:marLeft w:val="0"/>
                              <w:marRight w:val="0"/>
                              <w:marTop w:val="0"/>
                              <w:marBottom w:val="0"/>
                              <w:divBdr>
                                <w:top w:val="none" w:sz="0" w:space="0" w:color="auto"/>
                                <w:left w:val="none" w:sz="0" w:space="0" w:color="auto"/>
                                <w:bottom w:val="none" w:sz="0" w:space="0" w:color="auto"/>
                                <w:right w:val="none" w:sz="0" w:space="0" w:color="auto"/>
                              </w:divBdr>
                              <w:divsChild>
                                <w:div w:id="413286177">
                                  <w:marLeft w:val="0"/>
                                  <w:marRight w:val="0"/>
                                  <w:marTop w:val="0"/>
                                  <w:marBottom w:val="0"/>
                                  <w:divBdr>
                                    <w:top w:val="none" w:sz="0" w:space="0" w:color="auto"/>
                                    <w:left w:val="none" w:sz="0" w:space="0" w:color="auto"/>
                                    <w:bottom w:val="none" w:sz="0" w:space="0" w:color="auto"/>
                                    <w:right w:val="none" w:sz="0" w:space="0" w:color="auto"/>
                                  </w:divBdr>
                                  <w:divsChild>
                                    <w:div w:id="179662720">
                                      <w:marLeft w:val="0"/>
                                      <w:marRight w:val="0"/>
                                      <w:marTop w:val="0"/>
                                      <w:marBottom w:val="0"/>
                                      <w:divBdr>
                                        <w:top w:val="none" w:sz="0" w:space="0" w:color="auto"/>
                                        <w:left w:val="none" w:sz="0" w:space="0" w:color="auto"/>
                                        <w:bottom w:val="none" w:sz="0" w:space="0" w:color="auto"/>
                                        <w:right w:val="none" w:sz="0" w:space="0" w:color="auto"/>
                                      </w:divBdr>
                                      <w:divsChild>
                                        <w:div w:id="990183714">
                                          <w:marLeft w:val="0"/>
                                          <w:marRight w:val="0"/>
                                          <w:marTop w:val="0"/>
                                          <w:marBottom w:val="0"/>
                                          <w:divBdr>
                                            <w:top w:val="none" w:sz="0" w:space="0" w:color="auto"/>
                                            <w:left w:val="none" w:sz="0" w:space="0" w:color="auto"/>
                                            <w:bottom w:val="none" w:sz="0" w:space="0" w:color="auto"/>
                                            <w:right w:val="none" w:sz="0" w:space="0" w:color="auto"/>
                                          </w:divBdr>
                                          <w:divsChild>
                                            <w:div w:id="1522091571">
                                              <w:marLeft w:val="0"/>
                                              <w:marRight w:val="0"/>
                                              <w:marTop w:val="0"/>
                                              <w:marBottom w:val="0"/>
                                              <w:divBdr>
                                                <w:top w:val="none" w:sz="0" w:space="0" w:color="auto"/>
                                                <w:left w:val="none" w:sz="0" w:space="0" w:color="auto"/>
                                                <w:bottom w:val="none" w:sz="0" w:space="0" w:color="auto"/>
                                                <w:right w:val="none" w:sz="0" w:space="0" w:color="auto"/>
                                              </w:divBdr>
                                              <w:divsChild>
                                                <w:div w:id="1323924865">
                                                  <w:marLeft w:val="0"/>
                                                  <w:marRight w:val="0"/>
                                                  <w:marTop w:val="0"/>
                                                  <w:marBottom w:val="0"/>
                                                  <w:divBdr>
                                                    <w:top w:val="none" w:sz="0" w:space="0" w:color="auto"/>
                                                    <w:left w:val="none" w:sz="0" w:space="0" w:color="auto"/>
                                                    <w:bottom w:val="none" w:sz="0" w:space="0" w:color="auto"/>
                                                    <w:right w:val="none" w:sz="0" w:space="0" w:color="auto"/>
                                                  </w:divBdr>
                                                  <w:divsChild>
                                                    <w:div w:id="2018993228">
                                                      <w:marLeft w:val="0"/>
                                                      <w:marRight w:val="0"/>
                                                      <w:marTop w:val="0"/>
                                                      <w:marBottom w:val="0"/>
                                                      <w:divBdr>
                                                        <w:top w:val="none" w:sz="0" w:space="0" w:color="auto"/>
                                                        <w:left w:val="none" w:sz="0" w:space="0" w:color="auto"/>
                                                        <w:bottom w:val="none" w:sz="0" w:space="0" w:color="auto"/>
                                                        <w:right w:val="none" w:sz="0" w:space="0" w:color="auto"/>
                                                      </w:divBdr>
                                                      <w:divsChild>
                                                        <w:div w:id="14901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346512">
      <w:bodyDiv w:val="1"/>
      <w:marLeft w:val="0"/>
      <w:marRight w:val="0"/>
      <w:marTop w:val="0"/>
      <w:marBottom w:val="0"/>
      <w:divBdr>
        <w:top w:val="none" w:sz="0" w:space="0" w:color="auto"/>
        <w:left w:val="none" w:sz="0" w:space="0" w:color="auto"/>
        <w:bottom w:val="none" w:sz="0" w:space="0" w:color="auto"/>
        <w:right w:val="none" w:sz="0" w:space="0" w:color="auto"/>
      </w:divBdr>
      <w:divsChild>
        <w:div w:id="1554002750">
          <w:marLeft w:val="0"/>
          <w:marRight w:val="0"/>
          <w:marTop w:val="0"/>
          <w:marBottom w:val="0"/>
          <w:divBdr>
            <w:top w:val="none" w:sz="0" w:space="0" w:color="auto"/>
            <w:left w:val="none" w:sz="0" w:space="0" w:color="auto"/>
            <w:bottom w:val="none" w:sz="0" w:space="0" w:color="auto"/>
            <w:right w:val="none" w:sz="0" w:space="0" w:color="auto"/>
          </w:divBdr>
          <w:divsChild>
            <w:div w:id="1255090395">
              <w:marLeft w:val="0"/>
              <w:marRight w:val="0"/>
              <w:marTop w:val="0"/>
              <w:marBottom w:val="0"/>
              <w:divBdr>
                <w:top w:val="none" w:sz="0" w:space="0" w:color="auto"/>
                <w:left w:val="none" w:sz="0" w:space="0" w:color="auto"/>
                <w:bottom w:val="none" w:sz="0" w:space="0" w:color="auto"/>
                <w:right w:val="none" w:sz="0" w:space="0" w:color="auto"/>
              </w:divBdr>
              <w:divsChild>
                <w:div w:id="2136486580">
                  <w:marLeft w:val="0"/>
                  <w:marRight w:val="0"/>
                  <w:marTop w:val="0"/>
                  <w:marBottom w:val="0"/>
                  <w:divBdr>
                    <w:top w:val="none" w:sz="0" w:space="0" w:color="auto"/>
                    <w:left w:val="none" w:sz="0" w:space="0" w:color="auto"/>
                    <w:bottom w:val="none" w:sz="0" w:space="0" w:color="auto"/>
                    <w:right w:val="none" w:sz="0" w:space="0" w:color="auto"/>
                  </w:divBdr>
                  <w:divsChild>
                    <w:div w:id="604851272">
                      <w:marLeft w:val="0"/>
                      <w:marRight w:val="0"/>
                      <w:marTop w:val="0"/>
                      <w:marBottom w:val="0"/>
                      <w:divBdr>
                        <w:top w:val="none" w:sz="0" w:space="0" w:color="auto"/>
                        <w:left w:val="none" w:sz="0" w:space="0" w:color="auto"/>
                        <w:bottom w:val="none" w:sz="0" w:space="0" w:color="auto"/>
                        <w:right w:val="none" w:sz="0" w:space="0" w:color="auto"/>
                      </w:divBdr>
                      <w:divsChild>
                        <w:div w:id="399331485">
                          <w:marLeft w:val="0"/>
                          <w:marRight w:val="0"/>
                          <w:marTop w:val="0"/>
                          <w:marBottom w:val="0"/>
                          <w:divBdr>
                            <w:top w:val="none" w:sz="0" w:space="0" w:color="auto"/>
                            <w:left w:val="none" w:sz="0" w:space="0" w:color="auto"/>
                            <w:bottom w:val="none" w:sz="0" w:space="0" w:color="auto"/>
                            <w:right w:val="none" w:sz="0" w:space="0" w:color="auto"/>
                          </w:divBdr>
                          <w:divsChild>
                            <w:div w:id="141506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744796">
      <w:bodyDiv w:val="1"/>
      <w:marLeft w:val="0"/>
      <w:marRight w:val="0"/>
      <w:marTop w:val="0"/>
      <w:marBottom w:val="0"/>
      <w:divBdr>
        <w:top w:val="none" w:sz="0" w:space="0" w:color="auto"/>
        <w:left w:val="none" w:sz="0" w:space="0" w:color="auto"/>
        <w:bottom w:val="none" w:sz="0" w:space="0" w:color="auto"/>
        <w:right w:val="none" w:sz="0" w:space="0" w:color="auto"/>
      </w:divBdr>
      <w:divsChild>
        <w:div w:id="1859926400">
          <w:marLeft w:val="0"/>
          <w:marRight w:val="0"/>
          <w:marTop w:val="0"/>
          <w:marBottom w:val="0"/>
          <w:divBdr>
            <w:top w:val="none" w:sz="0" w:space="0" w:color="auto"/>
            <w:left w:val="none" w:sz="0" w:space="0" w:color="auto"/>
            <w:bottom w:val="none" w:sz="0" w:space="0" w:color="auto"/>
            <w:right w:val="none" w:sz="0" w:space="0" w:color="auto"/>
          </w:divBdr>
          <w:divsChild>
            <w:div w:id="637688528">
              <w:marLeft w:val="0"/>
              <w:marRight w:val="0"/>
              <w:marTop w:val="0"/>
              <w:marBottom w:val="0"/>
              <w:divBdr>
                <w:top w:val="none" w:sz="0" w:space="0" w:color="auto"/>
                <w:left w:val="none" w:sz="0" w:space="0" w:color="auto"/>
                <w:bottom w:val="none" w:sz="0" w:space="0" w:color="auto"/>
                <w:right w:val="none" w:sz="0" w:space="0" w:color="auto"/>
              </w:divBdr>
              <w:divsChild>
                <w:div w:id="2111703919">
                  <w:marLeft w:val="0"/>
                  <w:marRight w:val="0"/>
                  <w:marTop w:val="0"/>
                  <w:marBottom w:val="0"/>
                  <w:divBdr>
                    <w:top w:val="none" w:sz="0" w:space="0" w:color="auto"/>
                    <w:left w:val="none" w:sz="0" w:space="0" w:color="auto"/>
                    <w:bottom w:val="none" w:sz="0" w:space="0" w:color="auto"/>
                    <w:right w:val="none" w:sz="0" w:space="0" w:color="auto"/>
                  </w:divBdr>
                  <w:divsChild>
                    <w:div w:id="535627573">
                      <w:marLeft w:val="0"/>
                      <w:marRight w:val="0"/>
                      <w:marTop w:val="0"/>
                      <w:marBottom w:val="0"/>
                      <w:divBdr>
                        <w:top w:val="none" w:sz="0" w:space="0" w:color="auto"/>
                        <w:left w:val="none" w:sz="0" w:space="0" w:color="auto"/>
                        <w:bottom w:val="none" w:sz="0" w:space="0" w:color="auto"/>
                        <w:right w:val="none" w:sz="0" w:space="0" w:color="auto"/>
                      </w:divBdr>
                      <w:divsChild>
                        <w:div w:id="1372917512">
                          <w:marLeft w:val="0"/>
                          <w:marRight w:val="0"/>
                          <w:marTop w:val="0"/>
                          <w:marBottom w:val="0"/>
                          <w:divBdr>
                            <w:top w:val="none" w:sz="0" w:space="0" w:color="auto"/>
                            <w:left w:val="none" w:sz="0" w:space="0" w:color="auto"/>
                            <w:bottom w:val="none" w:sz="0" w:space="0" w:color="auto"/>
                            <w:right w:val="none" w:sz="0" w:space="0" w:color="auto"/>
                          </w:divBdr>
                          <w:divsChild>
                            <w:div w:id="1478572335">
                              <w:marLeft w:val="0"/>
                              <w:marRight w:val="0"/>
                              <w:marTop w:val="0"/>
                              <w:marBottom w:val="0"/>
                              <w:divBdr>
                                <w:top w:val="none" w:sz="0" w:space="0" w:color="auto"/>
                                <w:left w:val="none" w:sz="0" w:space="0" w:color="auto"/>
                                <w:bottom w:val="none" w:sz="0" w:space="0" w:color="auto"/>
                                <w:right w:val="none" w:sz="0" w:space="0" w:color="auto"/>
                              </w:divBdr>
                              <w:divsChild>
                                <w:div w:id="832795268">
                                  <w:marLeft w:val="0"/>
                                  <w:marRight w:val="0"/>
                                  <w:marTop w:val="0"/>
                                  <w:marBottom w:val="0"/>
                                  <w:divBdr>
                                    <w:top w:val="none" w:sz="0" w:space="0" w:color="auto"/>
                                    <w:left w:val="none" w:sz="0" w:space="0" w:color="auto"/>
                                    <w:bottom w:val="none" w:sz="0" w:space="0" w:color="auto"/>
                                    <w:right w:val="none" w:sz="0" w:space="0" w:color="auto"/>
                                  </w:divBdr>
                                  <w:divsChild>
                                    <w:div w:id="522942554">
                                      <w:marLeft w:val="0"/>
                                      <w:marRight w:val="0"/>
                                      <w:marTop w:val="0"/>
                                      <w:marBottom w:val="0"/>
                                      <w:divBdr>
                                        <w:top w:val="none" w:sz="0" w:space="0" w:color="auto"/>
                                        <w:left w:val="none" w:sz="0" w:space="0" w:color="auto"/>
                                        <w:bottom w:val="none" w:sz="0" w:space="0" w:color="auto"/>
                                        <w:right w:val="none" w:sz="0" w:space="0" w:color="auto"/>
                                      </w:divBdr>
                                      <w:divsChild>
                                        <w:div w:id="1740665248">
                                          <w:marLeft w:val="0"/>
                                          <w:marRight w:val="0"/>
                                          <w:marTop w:val="0"/>
                                          <w:marBottom w:val="0"/>
                                          <w:divBdr>
                                            <w:top w:val="none" w:sz="0" w:space="0" w:color="auto"/>
                                            <w:left w:val="none" w:sz="0" w:space="0" w:color="auto"/>
                                            <w:bottom w:val="none" w:sz="0" w:space="0" w:color="auto"/>
                                            <w:right w:val="none" w:sz="0" w:space="0" w:color="auto"/>
                                          </w:divBdr>
                                          <w:divsChild>
                                            <w:div w:id="1449202251">
                                              <w:marLeft w:val="0"/>
                                              <w:marRight w:val="0"/>
                                              <w:marTop w:val="0"/>
                                              <w:marBottom w:val="300"/>
                                              <w:divBdr>
                                                <w:top w:val="none" w:sz="0" w:space="0" w:color="auto"/>
                                                <w:left w:val="none" w:sz="0" w:space="0" w:color="auto"/>
                                                <w:bottom w:val="none" w:sz="0" w:space="0" w:color="auto"/>
                                                <w:right w:val="none" w:sz="0" w:space="0" w:color="auto"/>
                                              </w:divBdr>
                                              <w:divsChild>
                                                <w:div w:id="5509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92263">
      <w:bodyDiv w:val="1"/>
      <w:marLeft w:val="0"/>
      <w:marRight w:val="0"/>
      <w:marTop w:val="0"/>
      <w:marBottom w:val="0"/>
      <w:divBdr>
        <w:top w:val="none" w:sz="0" w:space="0" w:color="auto"/>
        <w:left w:val="none" w:sz="0" w:space="0" w:color="auto"/>
        <w:bottom w:val="none" w:sz="0" w:space="0" w:color="auto"/>
        <w:right w:val="none" w:sz="0" w:space="0" w:color="auto"/>
      </w:divBdr>
      <w:divsChild>
        <w:div w:id="314575322">
          <w:marLeft w:val="0"/>
          <w:marRight w:val="0"/>
          <w:marTop w:val="0"/>
          <w:marBottom w:val="0"/>
          <w:divBdr>
            <w:top w:val="none" w:sz="0" w:space="0" w:color="auto"/>
            <w:left w:val="none" w:sz="0" w:space="0" w:color="auto"/>
            <w:bottom w:val="none" w:sz="0" w:space="0" w:color="auto"/>
            <w:right w:val="none" w:sz="0" w:space="0" w:color="auto"/>
          </w:divBdr>
          <w:divsChild>
            <w:div w:id="2030258839">
              <w:marLeft w:val="0"/>
              <w:marRight w:val="0"/>
              <w:marTop w:val="0"/>
              <w:marBottom w:val="0"/>
              <w:divBdr>
                <w:top w:val="none" w:sz="0" w:space="0" w:color="auto"/>
                <w:left w:val="none" w:sz="0" w:space="0" w:color="auto"/>
                <w:bottom w:val="none" w:sz="0" w:space="0" w:color="auto"/>
                <w:right w:val="none" w:sz="0" w:space="0" w:color="auto"/>
              </w:divBdr>
              <w:divsChild>
                <w:div w:id="252666386">
                  <w:marLeft w:val="0"/>
                  <w:marRight w:val="0"/>
                  <w:marTop w:val="0"/>
                  <w:marBottom w:val="0"/>
                  <w:divBdr>
                    <w:top w:val="none" w:sz="0" w:space="0" w:color="auto"/>
                    <w:left w:val="none" w:sz="0" w:space="0" w:color="auto"/>
                    <w:bottom w:val="none" w:sz="0" w:space="0" w:color="auto"/>
                    <w:right w:val="none" w:sz="0" w:space="0" w:color="auto"/>
                  </w:divBdr>
                  <w:divsChild>
                    <w:div w:id="18112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rzy.cz/kurzy-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2420</Words>
  <Characters>14281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Havlíček Karel</dc:creator>
  <cp:lastModifiedBy>Kopačková Dagmar - TZB-info</cp:lastModifiedBy>
  <cp:revision>2</cp:revision>
  <dcterms:created xsi:type="dcterms:W3CDTF">2017-12-01T14:06:00Z</dcterms:created>
  <dcterms:modified xsi:type="dcterms:W3CDTF">2017-12-01T14:06:00Z</dcterms:modified>
</cp:coreProperties>
</file>